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48C7" w:rsidP="005348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PSPSEC011 Assess security risks</w:t>
      </w:r>
      <w:r>
        <w:fldChar w:fldCharType="end"/>
      </w:r>
    </w:p>
    <w:p w:rsidR="005348C7" w:rsidP="005348C7">
      <w:pPr>
        <w:pStyle w:val="Version"/>
        <w:sectPr w:rsidSect="00BE60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60A1" w:rsidP="00BE60A1">
      <w:pPr>
        <w:pStyle w:val="SuperHeading"/>
      </w:pPr>
      <w:r w:rsidRPr="00BE60A1">
        <w:t>Assessment Requirements for PSPSEC011 Assess security risks</w:t>
      </w:r>
    </w:p>
    <w:p w:rsidR="00000000" w:rsidRPr="00BE60A1" w:rsidP="00BE60A1">
      <w:pPr>
        <w:pStyle w:val="Heading1"/>
      </w:pPr>
      <w:bookmarkStart w:id="1" w:name="O_827109"/>
      <w:bookmarkEnd w:id="1"/>
      <w:r w:rsidRPr="00BE60A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5348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0A1">
            <w:pPr>
              <w:pStyle w:val="TableHeading"/>
              <w:rPr>
                <w:lang w:val="en-NZ"/>
              </w:rPr>
            </w:pPr>
            <w:r w:rsidRPr="00BE60A1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0A1">
            <w:pPr>
              <w:pStyle w:val="TableHeading"/>
              <w:rPr>
                <w:lang w:val="en-NZ"/>
              </w:rPr>
            </w:pPr>
            <w:r w:rsidRPr="00BE60A1">
              <w:t>Comments</w:t>
            </w:r>
          </w:p>
        </w:tc>
      </w:tr>
      <w:tr w:rsidTr="005348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0A1">
            <w:pPr>
              <w:pStyle w:val="BodyText"/>
              <w:rPr>
                <w:lang w:val="en-NZ"/>
              </w:rPr>
            </w:pPr>
            <w:r w:rsidRPr="00BE60A1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0A1" w:rsidP="00BE60A1">
            <w:pPr>
              <w:pStyle w:val="BodyText"/>
            </w:pPr>
            <w:r w:rsidRPr="00BE60A1">
              <w:t xml:space="preserve">These Assessment Requirements were released in PSP Public Sector Training Package release 1.0 and meet the Standards for Training Packages. </w:t>
            </w:r>
          </w:p>
          <w:p w:rsidR="00000000" w:rsidRPr="00BE60A1" w:rsidP="00BE60A1">
            <w:pPr>
              <w:pStyle w:val="BodyText"/>
            </w:pPr>
          </w:p>
          <w:p w:rsidR="00000000" w:rsidRPr="00BE60A1" w:rsidP="00BE60A1">
            <w:pPr>
              <w:pStyle w:val="ListBullet"/>
            </w:pPr>
            <w:r w:rsidRPr="00BE60A1">
              <w:t>Assessment Requirements created drawing upon specified a</w:t>
            </w:r>
            <w:r w:rsidRPr="00BE60A1">
              <w:t>ssessment information from superseded unit</w:t>
            </w:r>
          </w:p>
        </w:tc>
      </w:tr>
    </w:tbl>
    <w:p w:rsidR="00000000" w:rsidRPr="00BE60A1" w:rsidP="00BE60A1">
      <w:pPr>
        <w:pStyle w:val="BodyText"/>
      </w:pPr>
    </w:p>
    <w:p w:rsidR="00000000" w:rsidRPr="00BE60A1" w:rsidP="00BE60A1">
      <w:pPr>
        <w:pStyle w:val="AllowPageBreak"/>
      </w:pPr>
    </w:p>
    <w:p w:rsidR="00000000" w:rsidRPr="00BE60A1" w:rsidP="00BE60A1">
      <w:pPr>
        <w:pStyle w:val="Heading1"/>
      </w:pPr>
      <w:bookmarkStart w:id="2" w:name="O_827110"/>
      <w:bookmarkEnd w:id="2"/>
      <w:r w:rsidRPr="00BE60A1">
        <w:t>Performance Evidence</w:t>
      </w:r>
    </w:p>
    <w:p w:rsidR="00000000" w:rsidRPr="00BE60A1" w:rsidP="005348C7">
      <w:pPr>
        <w:pStyle w:val="BodyText"/>
      </w:pPr>
      <w:r w:rsidRPr="00BE60A1">
        <w:t xml:space="preserve">Evidence required to demonstrate competence must satisfy all of the requirements of the elements and performance criteria. If not otherwise specified </w:t>
      </w:r>
      <w:r w:rsidRPr="00BE60A1">
        <w:t>the candidate must demonstrate evidence of performance of the following on at least two occasions.</w:t>
      </w:r>
    </w:p>
    <w:p w:rsidR="00000000" w:rsidRPr="00BE60A1" w:rsidP="00BE60A1">
      <w:pPr>
        <w:pStyle w:val="ListBullet"/>
      </w:pPr>
      <w:r w:rsidRPr="00BE60A1">
        <w:t>applying legislation, regulations and policies relating to security risk management</w:t>
      </w:r>
    </w:p>
    <w:p w:rsidR="00000000" w:rsidRPr="00BE60A1" w:rsidP="00BE60A1">
      <w:pPr>
        <w:pStyle w:val="ListBullet"/>
      </w:pPr>
      <w:r w:rsidRPr="00BE60A1">
        <w:t>undertaking risk assessment</w:t>
      </w:r>
    </w:p>
    <w:p w:rsidR="00000000" w:rsidRPr="00BE60A1" w:rsidP="00BE60A1">
      <w:pPr>
        <w:pStyle w:val="ListBullet"/>
      </w:pPr>
      <w:r w:rsidRPr="00BE60A1">
        <w:t>reading and analysing the complex informatio</w:t>
      </w:r>
      <w:r w:rsidRPr="00BE60A1">
        <w:t>n in standards and security plans</w:t>
      </w:r>
    </w:p>
    <w:p w:rsidR="00000000" w:rsidRPr="00BE60A1" w:rsidP="00BE60A1">
      <w:pPr>
        <w:pStyle w:val="ListBullet"/>
      </w:pPr>
      <w:r w:rsidRPr="00BE60A1">
        <w:t>researching and analysing the operational environment and drawing accurate conclusions</w:t>
      </w:r>
    </w:p>
    <w:p w:rsidR="00000000" w:rsidRPr="00BE60A1" w:rsidP="00BE60A1">
      <w:pPr>
        <w:pStyle w:val="ListBullet"/>
      </w:pPr>
      <w:r w:rsidRPr="00BE60A1">
        <w:t>applying critical analysis, evaluation and deductive reasoning</w:t>
      </w:r>
    </w:p>
    <w:p w:rsidR="00000000" w:rsidRPr="00BE60A1" w:rsidP="00BE60A1">
      <w:pPr>
        <w:pStyle w:val="ListBullet"/>
      </w:pPr>
      <w:r w:rsidRPr="00BE60A1">
        <w:t>using problem solving and creative thinking in decision making</w:t>
      </w:r>
    </w:p>
    <w:p w:rsidR="00000000" w:rsidRPr="00BE60A1" w:rsidP="00BE60A1">
      <w:pPr>
        <w:pStyle w:val="ListBullet"/>
      </w:pPr>
      <w:r w:rsidRPr="00BE60A1">
        <w:t>communica</w:t>
      </w:r>
      <w:r w:rsidRPr="00BE60A1">
        <w:t>ting with diverse stakeholders: interviewing, listening, questioning, paraphrasing, clarifying, summarising</w:t>
      </w:r>
    </w:p>
    <w:p w:rsidR="00000000" w:rsidRPr="00BE60A1" w:rsidP="00BE60A1">
      <w:pPr>
        <w:pStyle w:val="ListBullet"/>
      </w:pPr>
      <w:r w:rsidRPr="00BE60A1">
        <w:t>writing reports requiring formal language and structure</w:t>
      </w:r>
    </w:p>
    <w:p w:rsidR="00000000" w:rsidRPr="00BE60A1" w:rsidP="00BE60A1">
      <w:pPr>
        <w:pStyle w:val="ListBullet"/>
      </w:pPr>
      <w:r w:rsidRPr="00BE60A1">
        <w:t>using computer technology and modelling to gather and analyse information and prepare report</w:t>
      </w:r>
      <w:r w:rsidRPr="00BE60A1">
        <w:t>s</w:t>
      </w:r>
    </w:p>
    <w:p w:rsidR="00000000" w:rsidRPr="00BE60A1" w:rsidP="00BE60A1">
      <w:pPr>
        <w:pStyle w:val="ListBullet"/>
      </w:pPr>
      <w:r w:rsidRPr="00BE60A1">
        <w:t>representing numerical, graphical and statistical information in diverse formats</w:t>
      </w:r>
    </w:p>
    <w:p w:rsidR="00000000" w:rsidRPr="00BE60A1" w:rsidP="00BE60A1">
      <w:pPr>
        <w:pStyle w:val="AllowPageBreak"/>
      </w:pPr>
    </w:p>
    <w:p w:rsidR="00000000" w:rsidRPr="00BE60A1" w:rsidP="00BE60A1">
      <w:pPr>
        <w:pStyle w:val="Heading1"/>
      </w:pPr>
      <w:bookmarkStart w:id="3" w:name="O_827111"/>
      <w:bookmarkEnd w:id="3"/>
      <w:r w:rsidRPr="00BE60A1">
        <w:t>Knowledge Evidence</w:t>
      </w:r>
    </w:p>
    <w:p w:rsidR="00000000" w:rsidRPr="00BE60A1" w:rsidP="00BE60A1">
      <w:pPr>
        <w:pStyle w:val="ListBullet"/>
      </w:pPr>
      <w:r w:rsidRPr="00BE60A1">
        <w:t>Operational knowledge of:</w:t>
      </w:r>
    </w:p>
    <w:p w:rsidR="00000000" w:rsidRPr="00BE60A1" w:rsidP="00BE60A1">
      <w:pPr>
        <w:pStyle w:val="ListBullet2"/>
      </w:pPr>
      <w:r w:rsidRPr="00BE60A1">
        <w:t>public service Acts</w:t>
      </w:r>
    </w:p>
    <w:p w:rsidR="00000000" w:rsidRPr="00BE60A1" w:rsidP="00BE60A1">
      <w:pPr>
        <w:pStyle w:val="ListBullet2"/>
      </w:pPr>
      <w:r w:rsidRPr="00BE60A1">
        <w:t>Crimes Act 1914 and Criminal Code 1985</w:t>
      </w:r>
    </w:p>
    <w:p w:rsidR="00000000" w:rsidRPr="00BE60A1" w:rsidP="00BE60A1">
      <w:pPr>
        <w:pStyle w:val="ListBullet2"/>
      </w:pPr>
      <w:r w:rsidRPr="00BE60A1">
        <w:t>Freedom of Information Act 1982</w:t>
      </w:r>
    </w:p>
    <w:p w:rsidR="00000000" w:rsidRPr="00BE60A1" w:rsidP="00BE60A1">
      <w:pPr>
        <w:pStyle w:val="ListBullet2"/>
      </w:pPr>
      <w:r w:rsidRPr="00BE60A1">
        <w:t>Privacy Act 1988</w:t>
      </w:r>
    </w:p>
    <w:p w:rsidR="00000000" w:rsidRPr="00BE60A1" w:rsidP="00BE60A1">
      <w:pPr>
        <w:pStyle w:val="ListBullet2"/>
      </w:pPr>
      <w:r w:rsidRPr="00BE60A1">
        <w:t>fraud control policy</w:t>
      </w:r>
    </w:p>
    <w:p w:rsidR="00000000" w:rsidRPr="00BE60A1" w:rsidP="00BE60A1">
      <w:pPr>
        <w:pStyle w:val="ListBullet2"/>
      </w:pPr>
      <w:r w:rsidRPr="00BE60A1">
        <w:t>protective security policy</w:t>
      </w:r>
    </w:p>
    <w:p w:rsidR="00000000" w:rsidRPr="00BE60A1" w:rsidP="00BE60A1">
      <w:pPr>
        <w:pStyle w:val="ListBullet2"/>
      </w:pPr>
      <w:r w:rsidRPr="00BE60A1">
        <w:t>Australian Government Information Security Manual (ISM)</w:t>
      </w:r>
    </w:p>
    <w:p w:rsidR="00000000" w:rsidRPr="00BE60A1" w:rsidP="00BE60A1">
      <w:pPr>
        <w:pStyle w:val="ListBullet2"/>
      </w:pPr>
      <w:r w:rsidRPr="00BE60A1">
        <w:t>Protective Security Policy Framework</w:t>
      </w:r>
    </w:p>
    <w:p w:rsidR="00000000" w:rsidRPr="00BE60A1" w:rsidP="00BE60A1">
      <w:pPr>
        <w:pStyle w:val="ListBullet2"/>
      </w:pPr>
      <w:r w:rsidRPr="00BE60A1">
        <w:t>Australian standards, quality assurance and certification requirements</w:t>
      </w:r>
    </w:p>
    <w:p w:rsidR="00000000" w:rsidRPr="00BE60A1" w:rsidP="00BE60A1">
      <w:pPr>
        <w:pStyle w:val="ListBullet"/>
      </w:pPr>
      <w:r w:rsidRPr="00BE60A1">
        <w:t>Complex knowledge of:</w:t>
      </w:r>
    </w:p>
    <w:p w:rsidR="00000000" w:rsidRPr="00BE60A1" w:rsidP="00BE60A1">
      <w:pPr>
        <w:pStyle w:val="ListBullet2"/>
      </w:pPr>
      <w:r w:rsidRPr="00BE60A1">
        <w:t>risk assessment tech</w:t>
      </w:r>
      <w:r w:rsidRPr="00BE60A1">
        <w:t>niques/processes</w:t>
      </w:r>
    </w:p>
    <w:p w:rsidR="00000000" w:rsidRPr="00BE60A1" w:rsidP="00BE60A1">
      <w:pPr>
        <w:pStyle w:val="ListBullet2"/>
      </w:pPr>
      <w:r w:rsidRPr="00BE60A1">
        <w:t>information handling</w:t>
      </w:r>
    </w:p>
    <w:p w:rsidR="00000000" w:rsidRPr="00BE60A1" w:rsidP="00BE60A1">
      <w:pPr>
        <w:pStyle w:val="ListBullet2"/>
      </w:pPr>
      <w:r w:rsidRPr="00BE60A1">
        <w:t>qualitative and quantitative analysis techniques</w:t>
      </w:r>
    </w:p>
    <w:p w:rsidR="00000000" w:rsidRPr="00BE60A1" w:rsidP="00BE60A1">
      <w:pPr>
        <w:pStyle w:val="ListBullet2"/>
      </w:pPr>
      <w:r w:rsidRPr="00BE60A1">
        <w:t>incident reports and statistics</w:t>
      </w:r>
    </w:p>
    <w:p w:rsidR="00000000" w:rsidRPr="00BE60A1" w:rsidP="00BE60A1">
      <w:pPr>
        <w:pStyle w:val="ListBullet2"/>
      </w:pPr>
      <w:r w:rsidRPr="00BE60A1">
        <w:t>asset holdings and recording mechanisms</w:t>
      </w:r>
    </w:p>
    <w:p w:rsidR="00000000" w:rsidRPr="00BE60A1" w:rsidP="00BE60A1">
      <w:pPr>
        <w:pStyle w:val="ListBullet2"/>
      </w:pPr>
      <w:r w:rsidRPr="00BE60A1">
        <w:t>international treaties and protocols</w:t>
      </w:r>
    </w:p>
    <w:p w:rsidR="00000000" w:rsidRPr="00BE60A1" w:rsidP="00BE60A1">
      <w:pPr>
        <w:pStyle w:val="ListBullet2"/>
      </w:pPr>
      <w:r w:rsidRPr="00BE60A1">
        <w:t>cross-jurisdictional protocols</w:t>
      </w:r>
    </w:p>
    <w:p w:rsidR="00000000" w:rsidRPr="00BE60A1" w:rsidP="00BE60A1">
      <w:pPr>
        <w:pStyle w:val="ListBullet2"/>
      </w:pPr>
      <w:r w:rsidRPr="00BE60A1">
        <w:t>organisation’</w:t>
      </w:r>
      <w:r w:rsidRPr="00BE60A1">
        <w:t>s strategic objectives</w:t>
      </w:r>
    </w:p>
    <w:p w:rsidR="00000000" w:rsidRPr="00BE60A1" w:rsidP="00BE60A1">
      <w:pPr>
        <w:pStyle w:val="ListBullet2"/>
      </w:pPr>
      <w:r w:rsidRPr="00BE60A1">
        <w:t>national strategic objectives</w:t>
      </w:r>
    </w:p>
    <w:p w:rsidR="00000000" w:rsidRPr="00BE60A1" w:rsidP="00BE60A1">
      <w:pPr>
        <w:pStyle w:val="ListBullet2"/>
      </w:pPr>
      <w:r w:rsidRPr="00BE60A1">
        <w:t>requirements of user groups</w:t>
      </w:r>
    </w:p>
    <w:p w:rsidR="00000000" w:rsidRPr="00BE60A1" w:rsidP="00BE60A1">
      <w:pPr>
        <w:pStyle w:val="AllowPageBreak"/>
      </w:pPr>
    </w:p>
    <w:p w:rsidR="00000000" w:rsidRPr="00BE60A1" w:rsidP="00BE60A1">
      <w:pPr>
        <w:pStyle w:val="Heading1"/>
      </w:pPr>
      <w:bookmarkStart w:id="4" w:name="O_827112"/>
      <w:bookmarkEnd w:id="4"/>
      <w:r w:rsidRPr="00BE60A1">
        <w:t>Assessment Conditions</w:t>
      </w:r>
    </w:p>
    <w:p w:rsidR="00000000" w:rsidRPr="00BE60A1" w:rsidP="005348C7">
      <w:pPr>
        <w:pStyle w:val="BodyText"/>
      </w:pPr>
      <w:r w:rsidRPr="00BE60A1">
        <w:t>Assessment of this unit requires evidence gathered over time in a workplace environment or one that closely resembles normal work practi</w:t>
      </w:r>
      <w:r w:rsidRPr="00BE60A1">
        <w:t>ce and replicates the diverse conditions likely to be encountered when assessing security risks</w:t>
      </w:r>
    </w:p>
    <w:p w:rsidR="005348C7" w:rsidP="005348C7">
      <w:pPr>
        <w:pStyle w:val="BodyText"/>
      </w:pPr>
      <w:r w:rsidRPr="00BE60A1">
        <w:t>Assessors must satisfy the NVR/AQTF mandatory competency requirements for assessors.</w:t>
      </w:r>
    </w:p>
    <w:p w:rsidR="00000000" w:rsidRPr="00BE60A1" w:rsidP="00BE60A1">
      <w:pPr>
        <w:pStyle w:val="Heading1"/>
      </w:pPr>
      <w:bookmarkStart w:id="5" w:name="O_827115"/>
      <w:bookmarkEnd w:id="5"/>
      <w:r w:rsidRPr="00BE60A1">
        <w:t>Links</w:t>
      </w:r>
    </w:p>
    <w:p w:rsidR="00000000" w:rsidRPr="00BE60A1" w:rsidP="005348C7">
      <w:pPr>
        <w:pStyle w:val="BodyText"/>
      </w:pPr>
      <w:r w:rsidRPr="00BE60A1">
        <w:t>Companion Volume implementation guides are found i</w:t>
      </w:r>
      <w:r w:rsidRPr="00BE60A1">
        <w:t xml:space="preserve">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864E2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E60A1" w:rsidP="005348C7">
      <w:pPr>
        <w:pStyle w:val="BodyText"/>
      </w:pPr>
      <w:r w:rsidRPr="00BE60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864E2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E60A1" w:rsidP="005348C7">
      <w:pPr>
        <w:pStyle w:val="BodyText"/>
      </w:pPr>
      <w:r w:rsidRPr="00BE60A1">
        <w:t>Companion Volu</w:t>
      </w:r>
      <w:r w:rsidRPr="00BE60A1">
        <w:t xml:space="preserve">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864E2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E60A1" w:rsidP="00BE60A1"/>
    <w:sectPr w:rsidSect="00BE60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0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0A1" w:rsidRPr="005348C7" w:rsidP="005348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0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8C7" w:rsidP="00BE60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348C7" w:rsidP="00BE60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348C7" w:rsidP="00BE60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0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8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60A1" w:rsidRPr="005348C7" w:rsidP="005348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0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8C7" w:rsidRPr="002D2AF8" w:rsidP="00BE60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PSPSEC011 Assess security risks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5348C7" w:rsidP="00BE60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30F9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6107A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1C66E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60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60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60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60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60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60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60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60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60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60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60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60A1"/>
  </w:style>
  <w:style w:type="character" w:customStyle="1" w:styleId="Heading1Char">
    <w:name w:val="Heading 1 Char"/>
    <w:basedOn w:val="DefaultParagraphFont"/>
    <w:link w:val="Heading1"/>
    <w:rsid w:val="00BE60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60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60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60A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E60A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E60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E60A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E60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60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60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60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60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60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60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60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60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60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60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60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60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60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60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60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60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60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60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60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60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E60A1"/>
    <w:rPr>
      <w:b/>
      <w:spacing w:val="0"/>
    </w:rPr>
  </w:style>
  <w:style w:type="paragraph" w:customStyle="1" w:styleId="SuperTitle">
    <w:name w:val="SuperTitle"/>
    <w:basedOn w:val="Title"/>
    <w:rsid w:val="00BE60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60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60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E60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60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60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60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60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60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60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60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60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60A1"/>
    <w:rPr>
      <w:i/>
    </w:rPr>
  </w:style>
  <w:style w:type="paragraph" w:styleId="Caption">
    <w:name w:val="caption"/>
    <w:basedOn w:val="BodyText"/>
    <w:next w:val="Normal"/>
    <w:qFormat/>
    <w:rsid w:val="00BE60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60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60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60A1"/>
  </w:style>
  <w:style w:type="paragraph" w:styleId="TableofFigures">
    <w:name w:val="table of figures"/>
    <w:basedOn w:val="Normal"/>
    <w:next w:val="Normal"/>
    <w:semiHidden/>
    <w:rsid w:val="00BE60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60A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E60A1"/>
    <w:rPr>
      <w:rFonts w:ascii="Wingdings" w:hAnsi="Wingdings"/>
    </w:rPr>
  </w:style>
  <w:style w:type="character" w:customStyle="1" w:styleId="HotSpot">
    <w:name w:val="HotSpot"/>
    <w:rsid w:val="00BE60A1"/>
    <w:rPr>
      <w:color w:val="0033CC"/>
      <w:u w:val="none"/>
    </w:rPr>
  </w:style>
  <w:style w:type="paragraph" w:customStyle="1" w:styleId="BodyTextRight">
    <w:name w:val="Body Text Right"/>
    <w:basedOn w:val="BodyText"/>
    <w:rsid w:val="00BE60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60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60A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60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60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60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60A1"/>
    <w:rPr>
      <w:sz w:val="32"/>
    </w:rPr>
  </w:style>
  <w:style w:type="paragraph" w:customStyle="1" w:styleId="HeadingProcedure">
    <w:name w:val="Heading Procedure"/>
    <w:basedOn w:val="HeadingBase"/>
    <w:next w:val="Normal"/>
    <w:rsid w:val="00BE60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60A1"/>
    <w:pPr>
      <w:spacing w:before="60" w:after="60"/>
    </w:pPr>
  </w:style>
  <w:style w:type="paragraph" w:styleId="ListContinue">
    <w:name w:val="List Continue"/>
    <w:basedOn w:val="List"/>
    <w:rsid w:val="00BE60A1"/>
    <w:pPr>
      <w:ind w:firstLine="0"/>
    </w:pPr>
  </w:style>
  <w:style w:type="paragraph" w:customStyle="1" w:styleId="ListNote">
    <w:name w:val="List Note"/>
    <w:basedOn w:val="List"/>
    <w:rsid w:val="00BE60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60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60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60A1"/>
    <w:rPr>
      <w:rFonts w:ascii="Courier New" w:hAnsi="Courier New"/>
    </w:rPr>
  </w:style>
  <w:style w:type="paragraph" w:customStyle="1" w:styleId="NoteBullet">
    <w:name w:val="Note Bullet"/>
    <w:basedOn w:val="Note"/>
    <w:rsid w:val="00BE60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60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60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60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60A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E60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60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60A1"/>
    <w:rPr>
      <w:b/>
      <w:smallCaps/>
    </w:rPr>
  </w:style>
  <w:style w:type="paragraph" w:customStyle="1" w:styleId="TableListNumber">
    <w:name w:val="Table List Number"/>
    <w:basedOn w:val="ListNumber"/>
    <w:rsid w:val="00BE60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60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60A1"/>
    <w:pPr>
      <w:numPr>
        <w:numId w:val="9"/>
      </w:numPr>
    </w:pPr>
  </w:style>
  <w:style w:type="paragraph" w:customStyle="1" w:styleId="ListAlpha2">
    <w:name w:val="List Alpha 2"/>
    <w:basedOn w:val="List2"/>
    <w:rsid w:val="00BE60A1"/>
    <w:pPr>
      <w:numPr>
        <w:numId w:val="8"/>
      </w:numPr>
    </w:pPr>
  </w:style>
  <w:style w:type="paragraph" w:styleId="List2">
    <w:name w:val="List 2"/>
    <w:basedOn w:val="BodyText"/>
    <w:rsid w:val="00BE60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60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60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60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60A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60A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E60A1"/>
    <w:pPr>
      <w:numPr>
        <w:numId w:val="4"/>
      </w:numPr>
    </w:pPr>
  </w:style>
  <w:style w:type="paragraph" w:styleId="ListContinue2">
    <w:name w:val="List Continue 2"/>
    <w:basedOn w:val="List2"/>
    <w:rsid w:val="00BE60A1"/>
    <w:pPr>
      <w:ind w:firstLine="0"/>
    </w:pPr>
  </w:style>
  <w:style w:type="paragraph" w:styleId="ListContinue3">
    <w:name w:val="List Continue 3"/>
    <w:basedOn w:val="List3"/>
    <w:rsid w:val="00BE60A1"/>
    <w:pPr>
      <w:ind w:left="1021" w:firstLine="0"/>
    </w:pPr>
  </w:style>
  <w:style w:type="paragraph" w:styleId="ListContinue4">
    <w:name w:val="List Continue 4"/>
    <w:basedOn w:val="List4"/>
    <w:rsid w:val="00BE60A1"/>
    <w:pPr>
      <w:ind w:firstLine="0"/>
    </w:pPr>
  </w:style>
  <w:style w:type="paragraph" w:styleId="ListContinue5">
    <w:name w:val="List Continue 5"/>
    <w:basedOn w:val="List5"/>
    <w:rsid w:val="00BE60A1"/>
    <w:pPr>
      <w:ind w:firstLine="0"/>
    </w:pPr>
  </w:style>
  <w:style w:type="paragraph" w:styleId="ListNumber3">
    <w:name w:val="List Number 3"/>
    <w:basedOn w:val="List3"/>
    <w:rsid w:val="00BE60A1"/>
    <w:pPr>
      <w:numPr>
        <w:numId w:val="5"/>
      </w:numPr>
    </w:pPr>
  </w:style>
  <w:style w:type="paragraph" w:styleId="ListNumber4">
    <w:name w:val="List Number 4"/>
    <w:basedOn w:val="List4"/>
    <w:rsid w:val="00BE60A1"/>
    <w:pPr>
      <w:numPr>
        <w:numId w:val="6"/>
      </w:numPr>
    </w:pPr>
  </w:style>
  <w:style w:type="paragraph" w:styleId="ListNumber5">
    <w:name w:val="List Number 5"/>
    <w:basedOn w:val="List5"/>
    <w:rsid w:val="00BE60A1"/>
    <w:pPr>
      <w:numPr>
        <w:numId w:val="7"/>
      </w:numPr>
    </w:pPr>
  </w:style>
  <w:style w:type="paragraph" w:styleId="BlockText">
    <w:name w:val="Block Text"/>
    <w:basedOn w:val="Normal"/>
    <w:rsid w:val="00BE60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60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60A1"/>
    <w:rPr>
      <w:sz w:val="16"/>
      <w:vertAlign w:val="superscript"/>
    </w:rPr>
  </w:style>
  <w:style w:type="character" w:customStyle="1" w:styleId="Symbols">
    <w:name w:val="Symbols"/>
    <w:basedOn w:val="DefaultParagraphFont"/>
    <w:rsid w:val="00BE60A1"/>
    <w:rPr>
      <w:rFonts w:ascii="Symbol" w:hAnsi="Symbol"/>
    </w:rPr>
  </w:style>
  <w:style w:type="character" w:customStyle="1" w:styleId="MenuOptions">
    <w:name w:val="Menu Options"/>
    <w:basedOn w:val="DefaultParagraphFont"/>
    <w:rsid w:val="00BE60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60A1"/>
    <w:rPr>
      <w:b/>
    </w:rPr>
  </w:style>
  <w:style w:type="character" w:customStyle="1" w:styleId="Underlined">
    <w:name w:val="Underlined"/>
    <w:basedOn w:val="DefaultParagraphFont"/>
    <w:rsid w:val="00BE60A1"/>
    <w:rPr>
      <w:u w:val="single"/>
    </w:rPr>
  </w:style>
  <w:style w:type="paragraph" w:customStyle="1" w:styleId="TableBodyTextRight">
    <w:name w:val="Table Body Text Right"/>
    <w:basedOn w:val="TableBodyText"/>
    <w:rsid w:val="00BE60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60A1"/>
    <w:rPr>
      <w:sz w:val="18"/>
    </w:rPr>
  </w:style>
  <w:style w:type="paragraph" w:customStyle="1" w:styleId="BodySmallRight">
    <w:name w:val="Body Small Right"/>
    <w:basedOn w:val="BodyTextRight"/>
    <w:rsid w:val="00BE60A1"/>
    <w:rPr>
      <w:sz w:val="18"/>
      <w:szCs w:val="18"/>
    </w:rPr>
  </w:style>
  <w:style w:type="paragraph" w:customStyle="1" w:styleId="MarginEdition">
    <w:name w:val="Margin Edition"/>
    <w:basedOn w:val="MarginNote"/>
    <w:rsid w:val="00BE60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60A1"/>
    <w:rPr>
      <w:sz w:val="2"/>
      <w:szCs w:val="2"/>
    </w:rPr>
  </w:style>
  <w:style w:type="character" w:customStyle="1" w:styleId="Small">
    <w:name w:val="Small"/>
    <w:basedOn w:val="DefaultParagraphFont"/>
    <w:rsid w:val="00BE60A1"/>
    <w:rPr>
      <w:sz w:val="16"/>
    </w:rPr>
  </w:style>
  <w:style w:type="paragraph" w:customStyle="1" w:styleId="WideTable">
    <w:name w:val="Wide Table"/>
    <w:basedOn w:val="Normal"/>
    <w:rsid w:val="00BE60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60A1"/>
  </w:style>
  <w:style w:type="paragraph" w:styleId="Quote">
    <w:name w:val="Quote"/>
    <w:basedOn w:val="Heading1"/>
    <w:link w:val="QuoteChar"/>
    <w:qFormat/>
    <w:rsid w:val="00BE60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60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60A1"/>
    <w:pPr>
      <w:pageBreakBefore/>
    </w:pPr>
  </w:style>
  <w:style w:type="paragraph" w:customStyle="1" w:styleId="Border">
    <w:name w:val="Border"/>
    <w:basedOn w:val="Normal"/>
    <w:qFormat/>
    <w:rsid w:val="00BE60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60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60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60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60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60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60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60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60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60A1"/>
    <w:rPr>
      <w:u w:val="single"/>
    </w:rPr>
  </w:style>
  <w:style w:type="character" w:customStyle="1" w:styleId="BoldandItalics">
    <w:name w:val="Bold and Italics"/>
    <w:qFormat/>
    <w:rsid w:val="00BE60A1"/>
    <w:rPr>
      <w:b/>
      <w:i/>
      <w:u w:val="none"/>
    </w:rPr>
  </w:style>
  <w:style w:type="paragraph" w:styleId="BalloonText">
    <w:name w:val="Balloon Text"/>
    <w:basedOn w:val="Normal"/>
    <w:link w:val="BalloonTextChar"/>
    <w:rsid w:val="00BE60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60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60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60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60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60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60A1"/>
    <w:pPr>
      <w:spacing w:before="0" w:after="0"/>
    </w:pPr>
  </w:style>
  <w:style w:type="paragraph" w:customStyle="1" w:styleId="BodyTextBold">
    <w:name w:val="Body Text Bold"/>
    <w:basedOn w:val="BodyText"/>
    <w:qFormat/>
    <w:rsid w:val="00BE60A1"/>
    <w:rPr>
      <w:b/>
    </w:rPr>
  </w:style>
  <w:style w:type="character" w:styleId="Hyperlink">
    <w:name w:val="Hyperlink"/>
    <w:basedOn w:val="DefaultParagraphFont"/>
    <w:uiPriority w:val="99"/>
    <w:unhideWhenUsed/>
    <w:rsid w:val="005348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380</Words>
  <Characters>2943</Characters>
  <Application>Microsoft Office Word</Application>
  <DocSecurity>0</DocSecurity>
  <Lines>79</Lines>
  <Paragraphs>62</Paragraphs>
  <ScaleCrop>false</ScaleCrop>
  <Company>Author-it Software Corporation Ltd.</Company>
  <LinksUpToDate>false</LinksUpToDate>
  <CharactersWithSpaces>3261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PSPSEC011 Assess security risks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2022-11-21T09:03:00Z</dcterms:created>
  <dcterms:modified xsi:type="dcterms:W3CDTF">2022-11-21T09:03:00Z</dcterms:modified>
</cp:coreProperties>
</file>