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08B" w:rsidP="001B1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PSPSEC006 Implement security risk treatments</w:t>
      </w:r>
      <w:r>
        <w:fldChar w:fldCharType="end"/>
      </w:r>
    </w:p>
    <w:p w:rsidR="001B108B" w:rsidP="001B108B">
      <w:pPr>
        <w:pStyle w:val="Version"/>
        <w:sectPr w:rsidSect="00DD30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045" w:rsidP="00DD3045">
      <w:pPr>
        <w:pStyle w:val="SuperHeading"/>
      </w:pPr>
      <w:r w:rsidRPr="00DD3045">
        <w:t>PSPSEC006 Implement security risk treatments</w:t>
      </w:r>
    </w:p>
    <w:p w:rsidR="00000000" w:rsidRPr="00DD3045" w:rsidP="00DD3045">
      <w:pPr>
        <w:pStyle w:val="Heading1"/>
      </w:pPr>
      <w:bookmarkStart w:id="1" w:name="O_826947"/>
      <w:bookmarkEnd w:id="1"/>
      <w:r w:rsidRPr="00DD30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B1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5">
            <w:pPr>
              <w:pStyle w:val="TableHeading"/>
              <w:rPr>
                <w:lang w:val="en-NZ"/>
              </w:rPr>
            </w:pPr>
            <w:r w:rsidRPr="00DD304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5">
            <w:pPr>
              <w:pStyle w:val="TableHeading"/>
              <w:rPr>
                <w:lang w:val="en-NZ"/>
              </w:rPr>
            </w:pPr>
            <w:r w:rsidRPr="00DD3045">
              <w:t>Comments</w:t>
            </w:r>
          </w:p>
        </w:tc>
      </w:tr>
      <w:tr w:rsidTr="001B1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5">
            <w:pPr>
              <w:pStyle w:val="BodyText"/>
              <w:rPr>
                <w:lang w:val="en-NZ"/>
              </w:rPr>
            </w:pPr>
            <w:r w:rsidRPr="00DD304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5" w:rsidP="00DD3045">
            <w:pPr>
              <w:pStyle w:val="BodyText"/>
            </w:pPr>
            <w:r w:rsidRPr="00DD3045">
              <w:t xml:space="preserve">This unit was released in PSP Public Sector Training Package release 1.0 and meets the Standards for Training Packages. </w:t>
            </w:r>
          </w:p>
          <w:p w:rsidR="00000000" w:rsidRPr="00DD3045" w:rsidP="00DD3045">
            <w:pPr>
              <w:pStyle w:val="BodyText"/>
            </w:pPr>
          </w:p>
          <w:p w:rsidR="00000000" w:rsidRPr="00DD3045" w:rsidP="00DD3045">
            <w:pPr>
              <w:pStyle w:val="BodyText"/>
            </w:pPr>
            <w:r w:rsidRPr="00DD3045">
              <w:t>This unit supersedes and is equivalent to PSPSEC402A Implement security risk treatments.</w:t>
            </w:r>
          </w:p>
          <w:p w:rsidR="00000000" w:rsidRPr="00DD3045" w:rsidP="00DD3045">
            <w:pPr>
              <w:pStyle w:val="BodyText"/>
            </w:pPr>
          </w:p>
          <w:p w:rsidR="00000000" w:rsidRPr="00DD3045" w:rsidP="00DD3045">
            <w:pPr>
              <w:pStyle w:val="ListBullet"/>
            </w:pPr>
            <w:r w:rsidRPr="00DD3045">
              <w:t>Un</w:t>
            </w:r>
            <w:r w:rsidRPr="00DD3045">
              <w:t>it code updated</w:t>
            </w:r>
          </w:p>
          <w:p w:rsidR="00000000" w:rsidRPr="00DD3045" w:rsidP="00DD3045">
            <w:pPr>
              <w:pStyle w:val="ListBullet"/>
            </w:pPr>
            <w:r w:rsidRPr="00DD3045">
              <w:t>Content and formatting updated to comply with new standards</w:t>
            </w:r>
          </w:p>
          <w:p w:rsidR="00000000" w:rsidRPr="00DD3045" w:rsidP="00DD3045">
            <w:pPr>
              <w:pStyle w:val="ListBullet"/>
            </w:pPr>
            <w:r w:rsidRPr="00DD3045">
              <w:t>All PC transitioned from passive to active voice</w:t>
            </w:r>
          </w:p>
          <w:p w:rsidR="00000000" w:rsidRPr="00DD3045" w:rsidP="00DD3045">
            <w:pPr>
              <w:pStyle w:val="ListBullet"/>
            </w:pPr>
            <w:r w:rsidRPr="00DD3045">
              <w:t>PC 2.1 and 2.2, PC 3.3 and 3.4, PC 4.1 and 4.2 merged</w:t>
            </w:r>
          </w:p>
        </w:tc>
      </w:tr>
    </w:tbl>
    <w:p w:rsidR="001B108B" w:rsidP="00DD3045">
      <w:pPr>
        <w:pStyle w:val="BodyText"/>
      </w:pPr>
    </w:p>
    <w:p w:rsidR="001B108B" w:rsidP="00DD3045">
      <w:pPr>
        <w:pStyle w:val="BodyText"/>
      </w:pPr>
    </w:p>
    <w:p w:rsidR="00000000" w:rsidRPr="00DD3045" w:rsidP="00DD3045">
      <w:pPr>
        <w:pStyle w:val="Heading1"/>
      </w:pPr>
      <w:bookmarkStart w:id="2" w:name="O_826948"/>
      <w:bookmarkEnd w:id="2"/>
      <w:r w:rsidRPr="00DD3045">
        <w:t>Application</w:t>
      </w:r>
    </w:p>
    <w:p w:rsidR="00000000" w:rsidRPr="00DD3045" w:rsidP="001B108B">
      <w:pPr>
        <w:pStyle w:val="BodyText"/>
      </w:pPr>
      <w:r w:rsidRPr="00DD3045">
        <w:t>This unit describes the skills required to confirm risk decisions, identify risk treatments, implement countermeasures and monitor and review the security risk management process.</w:t>
      </w:r>
    </w:p>
    <w:p w:rsidR="00000000" w:rsidRPr="00DD3045" w:rsidP="001B108B">
      <w:pPr>
        <w:pStyle w:val="BodyText"/>
      </w:pPr>
      <w:r w:rsidRPr="00DD3045">
        <w:t>This unit applies to those working in a security role where they will be re</w:t>
      </w:r>
      <w:r w:rsidRPr="00DD3045">
        <w:t>quired to confirm, identify, implement and review risk.</w:t>
      </w:r>
    </w:p>
    <w:p w:rsidR="00000000" w:rsidRPr="00DD3045" w:rsidP="001B108B">
      <w:pPr>
        <w:pStyle w:val="BodyText"/>
      </w:pPr>
      <w:r w:rsidRPr="00DD3045">
        <w:t>The skills and knowledge described in this unit must be applied within the legislative, regulatory and policy environment in which they are carried out. Organisational policies and procedures must be</w:t>
      </w:r>
      <w:r w:rsidRPr="00DD3045">
        <w:t xml:space="preserve"> consulted and adhered to, particularly those related to the security plan.</w:t>
      </w:r>
    </w:p>
    <w:p w:rsidR="00000000" w:rsidRPr="00DD3045" w:rsidP="001B108B">
      <w:pPr>
        <w:pStyle w:val="BodyText"/>
      </w:pPr>
      <w:r w:rsidRPr="00DD3045">
        <w:t>Those undertaking this unit would generally work independently and as part of a team using support resources as required. They would perform complex tasks in a range of familiar a</w:t>
      </w:r>
      <w:r w:rsidRPr="00DD3045">
        <w:t>nd unfamiliar contexts.</w:t>
      </w:r>
    </w:p>
    <w:p w:rsidR="001B108B" w:rsidP="001B108B">
      <w:pPr>
        <w:pStyle w:val="BodyText"/>
      </w:pPr>
      <w:r w:rsidRPr="00DD3045">
        <w:t>No licensing, legislative or certification requirements apply to unit at the time of publication.</w:t>
      </w:r>
    </w:p>
    <w:p w:rsidR="00000000" w:rsidRPr="00DD3045" w:rsidP="00DD3045">
      <w:pPr>
        <w:pStyle w:val="Heading1"/>
      </w:pPr>
      <w:bookmarkStart w:id="3" w:name="O_826950"/>
      <w:bookmarkEnd w:id="3"/>
      <w:r w:rsidRPr="00DD3045">
        <w:t>Competency Field</w:t>
      </w:r>
    </w:p>
    <w:p w:rsidR="00000000" w:rsidRPr="00DD3045" w:rsidP="001B108B">
      <w:pPr>
        <w:pStyle w:val="BodyText"/>
      </w:pPr>
      <w:r w:rsidRPr="00DD3045">
        <w:t>Security</w:t>
      </w:r>
    </w:p>
    <w:p w:rsidR="00000000" w:rsidRPr="00DD3045" w:rsidP="00DD3045">
      <w:pPr>
        <w:pStyle w:val="Heading1"/>
      </w:pPr>
      <w:bookmarkStart w:id="4" w:name="O_826952"/>
      <w:bookmarkEnd w:id="4"/>
      <w:r w:rsidRPr="00DD30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DD3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5">
            <w:pPr>
              <w:pStyle w:val="TableHeading"/>
              <w:rPr>
                <w:lang w:val="en-NZ"/>
              </w:rPr>
            </w:pPr>
            <w:r w:rsidRPr="00DD3045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5">
            <w:pPr>
              <w:pStyle w:val="TableHeading"/>
              <w:rPr>
                <w:lang w:val="en-NZ"/>
              </w:rPr>
            </w:pPr>
            <w:r w:rsidRPr="00DD3045">
              <w:t>PERFORMANCE CRITERIA</w:t>
            </w:r>
          </w:p>
        </w:tc>
      </w:tr>
      <w:tr w:rsidTr="00DD3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5">
            <w:pPr>
              <w:pStyle w:val="BodyText"/>
              <w:rPr>
                <w:lang w:val="en-NZ"/>
              </w:rPr>
            </w:pPr>
            <w:r w:rsidRPr="00DD3045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5">
            <w:pPr>
              <w:pStyle w:val="BodyText"/>
              <w:rPr>
                <w:lang w:val="en-NZ"/>
              </w:rPr>
            </w:pPr>
            <w:r w:rsidRPr="00DD3045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DD3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5">
            <w:pPr>
              <w:pStyle w:val="List"/>
              <w:rPr>
                <w:lang w:val="en-NZ"/>
              </w:rPr>
            </w:pPr>
            <w:r w:rsidRPr="00DD3045">
              <w:rPr>
                <w:rStyle w:val="SpecialBold"/>
              </w:rPr>
              <w:t>1.</w:t>
            </w:r>
            <w:r w:rsidRPr="00DD3045">
              <w:rPr>
                <w:rStyle w:val="SpecialBold"/>
              </w:rPr>
              <w:tab/>
              <w:t>Confirm ris</w:t>
            </w:r>
            <w:r w:rsidRPr="00DD3045">
              <w:rPr>
                <w:rStyle w:val="SpecialBold"/>
              </w:rPr>
              <w:t>k decisions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5" w:rsidP="00DD3045">
            <w:pPr>
              <w:pStyle w:val="List"/>
            </w:pPr>
            <w:r w:rsidRPr="00DD3045">
              <w:t>1.1</w:t>
            </w:r>
            <w:r w:rsidRPr="00DD3045">
              <w:tab/>
              <w:t>Confirm management decisions determining acceptable and unacceptable levels of risks.</w:t>
            </w:r>
          </w:p>
          <w:p w:rsidR="00000000" w:rsidRPr="00DD3045" w:rsidP="00DD3045">
            <w:pPr>
              <w:pStyle w:val="List"/>
            </w:pPr>
            <w:r w:rsidRPr="00DD3045">
              <w:t>1.2</w:t>
            </w:r>
            <w:r w:rsidRPr="00DD3045">
              <w:tab/>
              <w:t>Note and monitor low level risks accepted by the organisation, to detect changed circumstances.</w:t>
            </w:r>
          </w:p>
          <w:p w:rsidR="00000000" w:rsidRPr="00DD3045" w:rsidP="00DD3045">
            <w:pPr>
              <w:pStyle w:val="List"/>
            </w:pPr>
            <w:r w:rsidRPr="00DD3045">
              <w:t>1.3</w:t>
            </w:r>
            <w:r w:rsidRPr="00DD3045">
              <w:tab/>
              <w:t>Refer unacceptable high-level risks for developmen</w:t>
            </w:r>
            <w:r w:rsidRPr="00DD3045">
              <w:t>t of formal management plans.</w:t>
            </w:r>
          </w:p>
          <w:p w:rsidR="00000000" w:rsidP="00DD3045">
            <w:pPr>
              <w:pStyle w:val="List"/>
              <w:rPr>
                <w:lang w:val="en-NZ"/>
              </w:rPr>
            </w:pPr>
            <w:r w:rsidRPr="00DD3045">
              <w:t>1.4</w:t>
            </w:r>
            <w:r w:rsidRPr="00DD3045">
              <w:tab/>
              <w:t>Note for treatment all major or significant risks determined as unacceptable.</w:t>
            </w:r>
          </w:p>
        </w:tc>
      </w:tr>
      <w:tr w:rsidTr="00DD3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5">
            <w:pPr>
              <w:pStyle w:val="List"/>
              <w:rPr>
                <w:lang w:val="en-NZ"/>
              </w:rPr>
            </w:pPr>
            <w:r w:rsidRPr="00DD3045">
              <w:rPr>
                <w:rStyle w:val="SpecialBold"/>
              </w:rPr>
              <w:t>2.</w:t>
            </w:r>
            <w:r w:rsidRPr="00DD3045">
              <w:rPr>
                <w:rStyle w:val="SpecialBold"/>
              </w:rPr>
              <w:tab/>
              <w:t>Identify risk treatments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5" w:rsidP="00DD3045">
            <w:pPr>
              <w:pStyle w:val="List"/>
            </w:pPr>
            <w:r w:rsidRPr="00DD3045">
              <w:t>2.1</w:t>
            </w:r>
            <w:r w:rsidRPr="00DD3045">
              <w:tab/>
            </w:r>
            <w:r w:rsidRPr="00DD3045">
              <w:t>Ensure treatments are consistent with the security plan, are cost effective and address levels and types of risk and the importance of the function or resource at risk.</w:t>
            </w:r>
          </w:p>
          <w:p w:rsidR="00000000" w:rsidRPr="00DD3045" w:rsidP="00DD3045">
            <w:pPr>
              <w:pStyle w:val="List"/>
            </w:pPr>
            <w:r w:rsidRPr="00DD3045">
              <w:t>2.2</w:t>
            </w:r>
            <w:r w:rsidRPr="00DD3045">
              <w:tab/>
              <w:t>Select treatments to reduce the likelihood and/or consequences of the risk.</w:t>
            </w:r>
          </w:p>
          <w:p w:rsidR="00000000" w:rsidRPr="00DD3045" w:rsidP="00DD3045">
            <w:pPr>
              <w:pStyle w:val="List"/>
            </w:pPr>
            <w:r w:rsidRPr="00DD3045">
              <w:t>2.3</w:t>
            </w:r>
            <w:r w:rsidRPr="00DD3045">
              <w:tab/>
              <w:t>Inc</w:t>
            </w:r>
            <w:r w:rsidRPr="00DD3045">
              <w:t>lude continuity plans in treatments where appropriate.</w:t>
            </w:r>
          </w:p>
          <w:p w:rsidR="00000000" w:rsidP="00DD3045">
            <w:pPr>
              <w:pStyle w:val="List"/>
              <w:rPr>
                <w:lang w:val="en-NZ"/>
              </w:rPr>
            </w:pPr>
            <w:r w:rsidRPr="00DD3045">
              <w:t>2.4</w:t>
            </w:r>
            <w:r w:rsidRPr="00DD3045">
              <w:tab/>
              <w:t>Document treatments and submit for approval.</w:t>
            </w:r>
          </w:p>
        </w:tc>
      </w:tr>
      <w:tr w:rsidTr="00DD3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5">
            <w:pPr>
              <w:pStyle w:val="List"/>
              <w:rPr>
                <w:lang w:val="en-NZ"/>
              </w:rPr>
            </w:pPr>
            <w:r w:rsidRPr="00DD3045">
              <w:rPr>
                <w:rStyle w:val="SpecialBold"/>
              </w:rPr>
              <w:t>3.</w:t>
            </w:r>
            <w:r w:rsidRPr="00DD3045">
              <w:rPr>
                <w:rStyle w:val="SpecialBold"/>
              </w:rPr>
              <w:tab/>
              <w:t>Implement countermeasures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5" w:rsidP="00DD3045">
            <w:pPr>
              <w:pStyle w:val="List"/>
            </w:pPr>
            <w:r w:rsidRPr="00DD3045">
              <w:t>3.1</w:t>
            </w:r>
            <w:r w:rsidRPr="00DD3045">
              <w:tab/>
              <w:t>Develop and implement a treatment plan.</w:t>
            </w:r>
          </w:p>
          <w:p w:rsidR="00000000" w:rsidRPr="00DD3045" w:rsidP="00DD3045">
            <w:pPr>
              <w:pStyle w:val="List"/>
            </w:pPr>
            <w:r w:rsidRPr="00DD3045">
              <w:t>3.2</w:t>
            </w:r>
            <w:r w:rsidRPr="00DD3045">
              <w:tab/>
              <w:t>Apply countermeasures in accordance with the implementation strategy detai</w:t>
            </w:r>
            <w:r w:rsidRPr="00DD3045">
              <w:t>led in the security plan.</w:t>
            </w:r>
          </w:p>
          <w:p w:rsidR="00000000" w:rsidP="00DD3045">
            <w:pPr>
              <w:pStyle w:val="List"/>
              <w:rPr>
                <w:lang w:val="en-NZ"/>
              </w:rPr>
            </w:pPr>
            <w:r w:rsidRPr="00DD3045">
              <w:t>3.3</w:t>
            </w:r>
            <w:r w:rsidRPr="00DD3045">
              <w:tab/>
              <w:t>Implement countermeasures in accordance with timeframe, budgetary requirements and legal requirements.</w:t>
            </w:r>
          </w:p>
        </w:tc>
      </w:tr>
      <w:tr w:rsidTr="00DD3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5">
            <w:pPr>
              <w:pStyle w:val="List"/>
              <w:rPr>
                <w:lang w:val="en-NZ"/>
              </w:rPr>
            </w:pPr>
            <w:r w:rsidRPr="00DD3045">
              <w:rPr>
                <w:rStyle w:val="SpecialBold"/>
              </w:rPr>
              <w:t>4.</w:t>
            </w:r>
            <w:r w:rsidRPr="00DD3045">
              <w:rPr>
                <w:rStyle w:val="SpecialBold"/>
              </w:rPr>
              <w:tab/>
              <w:t>Monitor and review security risk management process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5" w:rsidP="00DD3045">
            <w:pPr>
              <w:pStyle w:val="List"/>
            </w:pPr>
            <w:r w:rsidRPr="00DD3045">
              <w:t>4.1</w:t>
            </w:r>
            <w:r w:rsidRPr="00DD3045">
              <w:tab/>
              <w:t>Implement strategies to monitor risk environment.</w:t>
            </w:r>
          </w:p>
          <w:p w:rsidR="00000000" w:rsidRPr="00DD3045" w:rsidP="00DD3045">
            <w:pPr>
              <w:pStyle w:val="List"/>
            </w:pPr>
            <w:r w:rsidRPr="00DD3045">
              <w:t>4.2</w:t>
            </w:r>
            <w:r w:rsidRPr="00DD3045">
              <w:tab/>
              <w:t xml:space="preserve">Evaluate </w:t>
            </w:r>
            <w:r w:rsidRPr="00DD3045">
              <w:t>risk treatments against the objectives of the security plan.</w:t>
            </w:r>
          </w:p>
          <w:p w:rsidR="00000000" w:rsidRPr="00DD3045" w:rsidP="00DD3045">
            <w:pPr>
              <w:pStyle w:val="List"/>
            </w:pPr>
            <w:r w:rsidRPr="00DD3045">
              <w:t>4.3</w:t>
            </w:r>
            <w:r w:rsidRPr="00DD3045">
              <w:tab/>
              <w:t>Obtain feedback from stakeholders on the adequacy and need for current security measures affecting their work/area.</w:t>
            </w:r>
          </w:p>
          <w:p w:rsidR="00000000" w:rsidRPr="00DD3045" w:rsidP="00DD3045">
            <w:pPr>
              <w:pStyle w:val="List"/>
            </w:pPr>
            <w:r w:rsidRPr="00DD3045">
              <w:t>4.4</w:t>
            </w:r>
            <w:r w:rsidRPr="00DD3045">
              <w:tab/>
              <w:t xml:space="preserve">Convey recommendations for re-examination of security risk or improved </w:t>
            </w:r>
            <w:r w:rsidRPr="00DD3045">
              <w:t>risk treatments to the appropriate personnel.</w:t>
            </w:r>
          </w:p>
        </w:tc>
      </w:tr>
    </w:tbl>
    <w:p w:rsidR="00000000" w:rsidRPr="00DD3045" w:rsidP="00DD3045">
      <w:pPr>
        <w:pStyle w:val="BodyText"/>
      </w:pPr>
    </w:p>
    <w:p w:rsidR="00000000" w:rsidRPr="00DD3045" w:rsidP="00DD3045">
      <w:pPr>
        <w:pStyle w:val="AllowPageBreak"/>
      </w:pPr>
    </w:p>
    <w:p w:rsidR="00000000" w:rsidRPr="00DD3045" w:rsidP="00DD3045">
      <w:pPr>
        <w:pStyle w:val="Heading1"/>
      </w:pPr>
      <w:bookmarkStart w:id="5" w:name="O_826953"/>
      <w:bookmarkEnd w:id="5"/>
      <w:r w:rsidRPr="00DD3045">
        <w:t>Foundation Skills</w:t>
      </w:r>
    </w:p>
    <w:p w:rsidR="00000000" w:rsidRPr="00DD3045" w:rsidP="001B108B">
      <w:pPr>
        <w:pStyle w:val="BodyText"/>
      </w:pPr>
      <w:r w:rsidRPr="00DD3045">
        <w:t>The foundation skills demands of this unit have been mapped for alignment with the Australian Core Skills Framework (ACSF). The following tables outline the performance leve</w:t>
      </w:r>
      <w:r w:rsidRPr="00DD3045">
        <w:t>ls indicated for successful attainment of the unit.</w:t>
      </w:r>
    </w:p>
    <w:p w:rsidR="00000000" w:rsidRPr="00DD3045" w:rsidP="00DD3045">
      <w:pPr>
        <w:pStyle w:val="BodyText"/>
        <w:keepNext/>
      </w:pPr>
    </w:p>
    <w:p w:rsidR="00000000" w:rsidRPr="00DD3045" w:rsidP="00DD3045">
      <w:pPr>
        <w:pStyle w:val="BodyText"/>
      </w:pPr>
      <w:bookmarkStart w:id="6" w:name="O_83897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6pt;width:468pt">
            <v:imagedata r:id="rId10" o:title=""/>
          </v:shape>
        </w:pict>
      </w:r>
      <w:bookmarkEnd w:id="6"/>
    </w:p>
    <w:p w:rsidR="00000000" w:rsidRPr="00DD3045" w:rsidP="00DD3045">
      <w:pPr>
        <w:pStyle w:val="BodyText"/>
      </w:pPr>
    </w:p>
    <w:p w:rsidR="00000000" w:rsidRPr="00DD3045" w:rsidP="001B108B">
      <w:pPr>
        <w:pStyle w:val="BodyText"/>
      </w:pPr>
      <w:r w:rsidRPr="00DD3045">
        <w:t>Furt</w:t>
      </w:r>
      <w:r w:rsidRPr="00DD3045">
        <w:t>her information on ACSF and the foundation skills underpinning this unit can be found in the Foundation Skills Guide on the GSA website.</w:t>
      </w:r>
    </w:p>
    <w:p w:rsidR="00000000" w:rsidRPr="00DD3045" w:rsidP="00DD3045">
      <w:pPr>
        <w:pStyle w:val="Heading1"/>
      </w:pPr>
      <w:bookmarkStart w:id="7" w:name="O_826955"/>
      <w:bookmarkEnd w:id="7"/>
      <w:r w:rsidRPr="00DD3045">
        <w:t>Unit Mapping Information</w:t>
      </w:r>
    </w:p>
    <w:p w:rsidR="00000000" w:rsidRPr="00DD3045" w:rsidP="001B108B">
      <w:pPr>
        <w:pStyle w:val="BodyText"/>
      </w:pPr>
      <w:r w:rsidRPr="00DD3045">
        <w:t xml:space="preserve">This unit supersedes and is equivalent to PSPSEC402A Implement security risk </w:t>
      </w:r>
      <w:r w:rsidRPr="00DD3045">
        <w:t>treatments.</w:t>
      </w:r>
    </w:p>
    <w:p w:rsidR="00000000" w:rsidRPr="00DD3045" w:rsidP="00DD3045">
      <w:pPr>
        <w:pStyle w:val="Heading1"/>
      </w:pPr>
      <w:bookmarkStart w:id="8" w:name="O_826962"/>
      <w:bookmarkEnd w:id="8"/>
      <w:r w:rsidRPr="00DD3045">
        <w:t>Links</w:t>
      </w:r>
    </w:p>
    <w:p w:rsidR="00000000" w:rsidRPr="00DD3045" w:rsidP="001B108B">
      <w:pPr>
        <w:pStyle w:val="BodyText"/>
      </w:pPr>
      <w:r w:rsidRPr="00DD30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E3E0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3045" w:rsidP="001B108B">
      <w:pPr>
        <w:pStyle w:val="BodyText"/>
      </w:pPr>
      <w:r w:rsidRPr="00DD30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E3E0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3045" w:rsidP="001B108B">
      <w:pPr>
        <w:pStyle w:val="BodyText"/>
      </w:pPr>
      <w:r w:rsidRPr="00DD30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E3E0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3045" w:rsidP="001B108B">
      <w:pPr>
        <w:pStyle w:val="BodyText"/>
      </w:pPr>
      <w:r w:rsidRPr="00DD3045">
        <w:t xml:space="preserve">Companion Volume implementation guides </w:t>
      </w:r>
      <w:r w:rsidRPr="00DD3045">
        <w:t xml:space="preserve">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E3E0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3045" w:rsidP="00DD3045"/>
    <w:sectPr w:rsidSect="00DD3045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5" w:rsidRPr="001B108B" w:rsidP="001B1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8B" w:rsidP="00DD3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108B" w:rsidP="00DD3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B108B" w:rsidP="00DD30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045" w:rsidRPr="001B108B" w:rsidP="001B10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8B" w:rsidRPr="002D2AF8" w:rsidP="00DD3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PSPSEC006 Implement security risk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B108B" w:rsidP="00DD30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7A1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4EFE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0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0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0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0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0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0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0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0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0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0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0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045"/>
  </w:style>
  <w:style w:type="character" w:customStyle="1" w:styleId="Heading1Char">
    <w:name w:val="Heading 1 Char"/>
    <w:basedOn w:val="DefaultParagraphFont"/>
    <w:link w:val="Heading1"/>
    <w:rsid w:val="00DD30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0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0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30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30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045"/>
    <w:rPr>
      <w:b/>
      <w:spacing w:val="0"/>
    </w:rPr>
  </w:style>
  <w:style w:type="paragraph" w:customStyle="1" w:styleId="SuperHeading">
    <w:name w:val="SuperHeading"/>
    <w:basedOn w:val="Normal"/>
    <w:rsid w:val="00DD30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30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30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0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0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0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0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0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0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0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0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0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0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0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0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0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0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30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0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0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0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30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30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0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0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0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0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0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0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0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0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045"/>
    <w:rPr>
      <w:i/>
    </w:rPr>
  </w:style>
  <w:style w:type="paragraph" w:styleId="Caption">
    <w:name w:val="caption"/>
    <w:basedOn w:val="BodyText"/>
    <w:next w:val="Normal"/>
    <w:qFormat/>
    <w:rsid w:val="00DD30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0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0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045"/>
  </w:style>
  <w:style w:type="paragraph" w:styleId="TableofFigures">
    <w:name w:val="table of figures"/>
    <w:basedOn w:val="Normal"/>
    <w:next w:val="Normal"/>
    <w:semiHidden/>
    <w:rsid w:val="00DD30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0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3045"/>
    <w:rPr>
      <w:rFonts w:ascii="Wingdings" w:hAnsi="Wingdings"/>
    </w:rPr>
  </w:style>
  <w:style w:type="character" w:customStyle="1" w:styleId="HotSpot">
    <w:name w:val="HotSpot"/>
    <w:rsid w:val="00DD3045"/>
    <w:rPr>
      <w:color w:val="0033CC"/>
      <w:u w:val="none"/>
    </w:rPr>
  </w:style>
  <w:style w:type="paragraph" w:customStyle="1" w:styleId="BodyTextRight">
    <w:name w:val="Body Text Right"/>
    <w:basedOn w:val="BodyText"/>
    <w:rsid w:val="00DD30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0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0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0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0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0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045"/>
    <w:rPr>
      <w:sz w:val="32"/>
    </w:rPr>
  </w:style>
  <w:style w:type="paragraph" w:customStyle="1" w:styleId="HeadingProcedure">
    <w:name w:val="Heading Procedure"/>
    <w:basedOn w:val="HeadingBase"/>
    <w:next w:val="Normal"/>
    <w:rsid w:val="00DD30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045"/>
    <w:pPr>
      <w:spacing w:before="60" w:after="60"/>
    </w:pPr>
  </w:style>
  <w:style w:type="paragraph" w:styleId="ListContinue">
    <w:name w:val="List Continue"/>
    <w:basedOn w:val="List"/>
    <w:rsid w:val="00DD3045"/>
    <w:pPr>
      <w:ind w:firstLine="0"/>
    </w:pPr>
  </w:style>
  <w:style w:type="paragraph" w:customStyle="1" w:styleId="ListNote">
    <w:name w:val="List Note"/>
    <w:basedOn w:val="List"/>
    <w:rsid w:val="00DD30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0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0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045"/>
    <w:rPr>
      <w:rFonts w:ascii="Courier New" w:hAnsi="Courier New"/>
    </w:rPr>
  </w:style>
  <w:style w:type="paragraph" w:customStyle="1" w:styleId="NoteBullet">
    <w:name w:val="Note Bullet"/>
    <w:basedOn w:val="Note"/>
    <w:rsid w:val="00DD30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0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0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0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0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30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0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045"/>
    <w:rPr>
      <w:b/>
      <w:smallCaps/>
    </w:rPr>
  </w:style>
  <w:style w:type="paragraph" w:customStyle="1" w:styleId="TableListNumber">
    <w:name w:val="Table List Number"/>
    <w:basedOn w:val="ListNumber"/>
    <w:rsid w:val="00DD30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0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045"/>
    <w:pPr>
      <w:numPr>
        <w:numId w:val="8"/>
      </w:numPr>
    </w:pPr>
  </w:style>
  <w:style w:type="paragraph" w:customStyle="1" w:styleId="ListAlpha2">
    <w:name w:val="List Alpha 2"/>
    <w:basedOn w:val="List2"/>
    <w:rsid w:val="00DD3045"/>
    <w:pPr>
      <w:numPr>
        <w:numId w:val="7"/>
      </w:numPr>
    </w:pPr>
  </w:style>
  <w:style w:type="paragraph" w:styleId="List2">
    <w:name w:val="List 2"/>
    <w:basedOn w:val="BodyText"/>
    <w:rsid w:val="00DD30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0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0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0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0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0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3045"/>
    <w:pPr>
      <w:numPr>
        <w:numId w:val="3"/>
      </w:numPr>
    </w:pPr>
  </w:style>
  <w:style w:type="paragraph" w:styleId="ListContinue2">
    <w:name w:val="List Continue 2"/>
    <w:basedOn w:val="List2"/>
    <w:rsid w:val="00DD3045"/>
    <w:pPr>
      <w:ind w:firstLine="0"/>
    </w:pPr>
  </w:style>
  <w:style w:type="paragraph" w:styleId="ListContinue3">
    <w:name w:val="List Continue 3"/>
    <w:basedOn w:val="List3"/>
    <w:rsid w:val="00DD3045"/>
    <w:pPr>
      <w:ind w:left="1021" w:firstLine="0"/>
    </w:pPr>
  </w:style>
  <w:style w:type="paragraph" w:styleId="ListContinue4">
    <w:name w:val="List Continue 4"/>
    <w:basedOn w:val="List4"/>
    <w:rsid w:val="00DD3045"/>
    <w:pPr>
      <w:ind w:firstLine="0"/>
    </w:pPr>
  </w:style>
  <w:style w:type="paragraph" w:styleId="ListContinue5">
    <w:name w:val="List Continue 5"/>
    <w:basedOn w:val="List5"/>
    <w:rsid w:val="00DD3045"/>
    <w:pPr>
      <w:ind w:firstLine="0"/>
    </w:pPr>
  </w:style>
  <w:style w:type="paragraph" w:styleId="ListNumber3">
    <w:name w:val="List Number 3"/>
    <w:basedOn w:val="List3"/>
    <w:rsid w:val="00DD3045"/>
    <w:pPr>
      <w:numPr>
        <w:numId w:val="4"/>
      </w:numPr>
    </w:pPr>
  </w:style>
  <w:style w:type="paragraph" w:styleId="ListNumber4">
    <w:name w:val="List Number 4"/>
    <w:basedOn w:val="List4"/>
    <w:rsid w:val="00DD3045"/>
    <w:pPr>
      <w:numPr>
        <w:numId w:val="5"/>
      </w:numPr>
    </w:pPr>
  </w:style>
  <w:style w:type="paragraph" w:styleId="ListNumber5">
    <w:name w:val="List Number 5"/>
    <w:basedOn w:val="List5"/>
    <w:rsid w:val="00DD3045"/>
    <w:pPr>
      <w:numPr>
        <w:numId w:val="6"/>
      </w:numPr>
    </w:pPr>
  </w:style>
  <w:style w:type="paragraph" w:styleId="BlockText">
    <w:name w:val="Block Text"/>
    <w:basedOn w:val="Normal"/>
    <w:rsid w:val="00DD30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0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045"/>
    <w:rPr>
      <w:sz w:val="16"/>
      <w:vertAlign w:val="superscript"/>
    </w:rPr>
  </w:style>
  <w:style w:type="character" w:customStyle="1" w:styleId="Symbols">
    <w:name w:val="Symbols"/>
    <w:basedOn w:val="DefaultParagraphFont"/>
    <w:rsid w:val="00DD3045"/>
    <w:rPr>
      <w:rFonts w:ascii="Symbol" w:hAnsi="Symbol"/>
    </w:rPr>
  </w:style>
  <w:style w:type="character" w:customStyle="1" w:styleId="MenuOptions">
    <w:name w:val="Menu Options"/>
    <w:basedOn w:val="DefaultParagraphFont"/>
    <w:rsid w:val="00DD30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045"/>
    <w:rPr>
      <w:b/>
    </w:rPr>
  </w:style>
  <w:style w:type="character" w:customStyle="1" w:styleId="Underlined">
    <w:name w:val="Underlined"/>
    <w:basedOn w:val="DefaultParagraphFont"/>
    <w:rsid w:val="00DD3045"/>
    <w:rPr>
      <w:u w:val="single"/>
    </w:rPr>
  </w:style>
  <w:style w:type="paragraph" w:customStyle="1" w:styleId="TableBodyTextRight">
    <w:name w:val="Table Body Text Right"/>
    <w:basedOn w:val="TableBodyText"/>
    <w:rsid w:val="00DD30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045"/>
    <w:rPr>
      <w:sz w:val="18"/>
    </w:rPr>
  </w:style>
  <w:style w:type="paragraph" w:customStyle="1" w:styleId="BodySmallRight">
    <w:name w:val="Body Small Right"/>
    <w:basedOn w:val="BodyTextRight"/>
    <w:rsid w:val="00DD3045"/>
    <w:rPr>
      <w:sz w:val="18"/>
      <w:szCs w:val="18"/>
    </w:rPr>
  </w:style>
  <w:style w:type="paragraph" w:customStyle="1" w:styleId="MarginEdition">
    <w:name w:val="Margin Edition"/>
    <w:basedOn w:val="MarginNote"/>
    <w:rsid w:val="00DD30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045"/>
    <w:rPr>
      <w:sz w:val="2"/>
      <w:szCs w:val="2"/>
    </w:rPr>
  </w:style>
  <w:style w:type="character" w:customStyle="1" w:styleId="Small">
    <w:name w:val="Small"/>
    <w:basedOn w:val="DefaultParagraphFont"/>
    <w:rsid w:val="00DD3045"/>
    <w:rPr>
      <w:sz w:val="16"/>
    </w:rPr>
  </w:style>
  <w:style w:type="paragraph" w:customStyle="1" w:styleId="WideTable">
    <w:name w:val="Wide Table"/>
    <w:basedOn w:val="Normal"/>
    <w:rsid w:val="00DD30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045"/>
  </w:style>
  <w:style w:type="paragraph" w:styleId="Quote">
    <w:name w:val="Quote"/>
    <w:basedOn w:val="Heading1"/>
    <w:link w:val="QuoteChar"/>
    <w:qFormat/>
    <w:rsid w:val="00DD30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0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045"/>
    <w:pPr>
      <w:pageBreakBefore/>
    </w:pPr>
  </w:style>
  <w:style w:type="paragraph" w:customStyle="1" w:styleId="Border">
    <w:name w:val="Border"/>
    <w:basedOn w:val="Normal"/>
    <w:qFormat/>
    <w:rsid w:val="00DD30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0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0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0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0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0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0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0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0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045"/>
    <w:rPr>
      <w:u w:val="single"/>
    </w:rPr>
  </w:style>
  <w:style w:type="character" w:customStyle="1" w:styleId="BoldandItalics">
    <w:name w:val="Bold and Italics"/>
    <w:qFormat/>
    <w:rsid w:val="00DD3045"/>
    <w:rPr>
      <w:b/>
      <w:i/>
      <w:u w:val="none"/>
    </w:rPr>
  </w:style>
  <w:style w:type="paragraph" w:styleId="BalloonText">
    <w:name w:val="Balloon Text"/>
    <w:basedOn w:val="Normal"/>
    <w:link w:val="BalloonTextChar"/>
    <w:rsid w:val="00DD3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0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0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0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0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0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045"/>
    <w:pPr>
      <w:spacing w:before="0" w:after="0"/>
    </w:pPr>
  </w:style>
  <w:style w:type="paragraph" w:customStyle="1" w:styleId="BodyTextBold">
    <w:name w:val="Body Text Bold"/>
    <w:basedOn w:val="BodyText"/>
    <w:qFormat/>
    <w:rsid w:val="00DD3045"/>
    <w:rPr>
      <w:b/>
    </w:rPr>
  </w:style>
  <w:style w:type="character" w:styleId="Hyperlink">
    <w:name w:val="Hyperlink"/>
    <w:basedOn w:val="DefaultParagraphFont"/>
    <w:uiPriority w:val="99"/>
    <w:unhideWhenUsed/>
    <w:rsid w:val="001B1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4179</Characters>
  <Application>Microsoft Office Word</Application>
  <DocSecurity>0</DocSecurity>
  <Lines>126</Lines>
  <Paragraphs>69</Paragraphs>
  <ScaleCrop>false</ScaleCrop>
  <Company>Author-it Software Corporation Ltd.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PSPSEC006 Implement security risk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