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70B" w:rsidP="00F8170B">
      <w:pPr>
        <w:pStyle w:val="Title"/>
      </w:pPr>
      <w:r>
        <w:fldChar w:fldCharType="begin"/>
      </w:r>
      <w:r>
        <w:instrText xml:space="preserve"> TITLE   \* MERGEFORMAT </w:instrText>
      </w:r>
      <w:r>
        <w:fldChar w:fldCharType="separate"/>
      </w:r>
      <w:r>
        <w:t>PSPSEC002 Respond to government security incidents</w:t>
      </w:r>
      <w:r>
        <w:fldChar w:fldCharType="end"/>
      </w:r>
    </w:p>
    <w:p w:rsidR="00F8170B" w:rsidP="00F8170B">
      <w:pPr>
        <w:pStyle w:val="Version"/>
        <w:sectPr w:rsidSect="000D7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199" w:rsidP="000D7199">
      <w:pPr>
        <w:pStyle w:val="SuperHeading"/>
      </w:pPr>
      <w:r w:rsidRPr="000D7199">
        <w:t>PSPSEC002 Respond to government security incidents</w:t>
      </w:r>
    </w:p>
    <w:p w:rsidR="00000000" w:rsidRPr="000D7199" w:rsidP="000D7199">
      <w:pPr>
        <w:pStyle w:val="Heading1"/>
      </w:pPr>
      <w:bookmarkStart w:id="1" w:name="O_826833"/>
      <w:bookmarkEnd w:id="1"/>
      <w:r w:rsidRPr="000D7199">
        <w:t>Modification History</w:t>
      </w:r>
    </w:p>
    <w:tbl>
      <w:tblPr>
        <w:tblW w:w="0" w:type="auto"/>
        <w:tblLayout w:type="fixed"/>
        <w:tblCellMar>
          <w:left w:w="62" w:type="dxa"/>
          <w:right w:w="62" w:type="dxa"/>
        </w:tblCellMar>
        <w:tblLook w:val="0000"/>
      </w:tblPr>
      <w:tblGrid>
        <w:gridCol w:w="1134"/>
        <w:gridCol w:w="7937"/>
      </w:tblGrid>
      <w:tr w:rsidTr="00F817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TableHeading"/>
              <w:rPr>
                <w:lang w:val="en-NZ"/>
              </w:rPr>
            </w:pPr>
            <w:r w:rsidRPr="000D71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TableHeading"/>
              <w:rPr>
                <w:lang w:val="en-NZ"/>
              </w:rPr>
            </w:pPr>
            <w:r w:rsidRPr="000D7199">
              <w:t>Comments</w:t>
            </w:r>
          </w:p>
        </w:tc>
      </w:tr>
      <w:tr w:rsidTr="00F817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BodyText"/>
              <w:rPr>
                <w:lang w:val="en-NZ"/>
              </w:rPr>
            </w:pPr>
            <w:r w:rsidRPr="000D71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199" w:rsidP="000D7199">
            <w:pPr>
              <w:pStyle w:val="BodyText"/>
            </w:pPr>
            <w:r w:rsidRPr="000D7199">
              <w:t xml:space="preserve">This unit was released in PSP Public Sector Training Package release 1.0 and meets the Standards for Training Packages. </w:t>
            </w:r>
          </w:p>
          <w:p w:rsidR="00000000" w:rsidRPr="000D7199" w:rsidP="000D7199">
            <w:pPr>
              <w:pStyle w:val="BodyText"/>
            </w:pPr>
          </w:p>
          <w:p w:rsidR="00000000" w:rsidRPr="000D7199" w:rsidP="000D7199">
            <w:pPr>
              <w:pStyle w:val="BodyText"/>
            </w:pPr>
            <w:r w:rsidRPr="000D7199">
              <w:t>This unit supersedes and is equivalent to PSPSEC302A Respond to government security i</w:t>
            </w:r>
            <w:r w:rsidRPr="000D7199">
              <w:t>ncidents.</w:t>
            </w:r>
          </w:p>
          <w:p w:rsidR="00000000" w:rsidRPr="000D7199" w:rsidP="000D7199">
            <w:pPr>
              <w:pStyle w:val="BodyText"/>
            </w:pPr>
          </w:p>
          <w:p w:rsidR="00000000" w:rsidRPr="000D7199" w:rsidP="000D7199">
            <w:pPr>
              <w:pStyle w:val="ListBullet"/>
            </w:pPr>
            <w:r w:rsidRPr="000D7199">
              <w:t>Unit code updated</w:t>
            </w:r>
          </w:p>
          <w:p w:rsidR="00000000" w:rsidRPr="000D7199" w:rsidP="000D7199">
            <w:pPr>
              <w:pStyle w:val="ListBullet"/>
            </w:pPr>
            <w:r w:rsidRPr="000D7199">
              <w:t>Content and formatting updated to comply with new standards</w:t>
            </w:r>
          </w:p>
          <w:p w:rsidR="00000000" w:rsidRPr="000D7199" w:rsidP="000D7199">
            <w:pPr>
              <w:pStyle w:val="ListBullet"/>
            </w:pPr>
            <w:r w:rsidRPr="000D7199">
              <w:t>All PC transitioned from passive to active voice</w:t>
            </w:r>
          </w:p>
          <w:p w:rsidR="00000000" w:rsidRPr="000D7199" w:rsidP="000D7199">
            <w:pPr>
              <w:pStyle w:val="ListBullet"/>
            </w:pPr>
            <w:r w:rsidRPr="000D7199">
              <w:t>PC 1.1 and 1.2, PC 2.1 and 2.2 merged</w:t>
            </w:r>
          </w:p>
        </w:tc>
      </w:tr>
    </w:tbl>
    <w:p w:rsidR="00000000" w:rsidRPr="000D7199" w:rsidP="000D7199">
      <w:pPr>
        <w:pStyle w:val="BodyText"/>
      </w:pPr>
    </w:p>
    <w:p w:rsidR="00000000" w:rsidRPr="000D7199" w:rsidP="000D7199">
      <w:pPr>
        <w:pStyle w:val="AllowPageBreak"/>
      </w:pPr>
    </w:p>
    <w:p w:rsidR="00000000" w:rsidRPr="000D7199" w:rsidP="000D7199">
      <w:pPr>
        <w:pStyle w:val="Heading1"/>
      </w:pPr>
      <w:bookmarkStart w:id="2" w:name="O_826834"/>
      <w:bookmarkEnd w:id="2"/>
      <w:r w:rsidRPr="000D7199">
        <w:t>Application</w:t>
      </w:r>
    </w:p>
    <w:p w:rsidR="00000000" w:rsidRPr="000D7199" w:rsidP="00F8170B">
      <w:pPr>
        <w:pStyle w:val="BodyText"/>
      </w:pPr>
      <w:r w:rsidRPr="000D7199">
        <w:t>This unit describes the skills required to access and advise on security incidents and plan an incident response within the limits of role and responsibility.</w:t>
      </w:r>
    </w:p>
    <w:p w:rsidR="00000000" w:rsidRPr="000D7199" w:rsidP="00F8170B">
      <w:pPr>
        <w:pStyle w:val="BodyText"/>
      </w:pPr>
      <w:r w:rsidRPr="000D7199">
        <w:t>This unit applies to those working in a security role where they are expected to identify, manag</w:t>
      </w:r>
      <w:r w:rsidRPr="000D7199">
        <w:t>e, finalise and recommend actions if required.</w:t>
      </w:r>
    </w:p>
    <w:p w:rsidR="00000000" w:rsidRPr="000D7199" w:rsidP="00F8170B">
      <w:pPr>
        <w:pStyle w:val="BodyText"/>
      </w:pPr>
      <w:r w:rsidRPr="000D7199">
        <w:t>The skills and knowledge described in this unit must be applied within the legislative, regulatory and policy environment in which they are carried out. Organisational policies and procedures must be consulte</w:t>
      </w:r>
      <w:r w:rsidRPr="000D7199">
        <w:t>d and adhered to.</w:t>
      </w:r>
    </w:p>
    <w:p w:rsidR="00000000" w:rsidRPr="000D7199" w:rsidP="00F8170B">
      <w:pPr>
        <w:pStyle w:val="BodyText"/>
      </w:pPr>
      <w:r w:rsidRPr="000D7199">
        <w:t>Those undertaking this unit would generally work independently and/or as part of a team, using support resources as required. They would perform routine tasks in a range of familiar and unfamiliar contexts.</w:t>
      </w:r>
    </w:p>
    <w:p w:rsidR="00F8170B" w:rsidP="00F8170B">
      <w:pPr>
        <w:pStyle w:val="BodyText"/>
      </w:pPr>
      <w:r w:rsidRPr="000D7199">
        <w:t>No licensing, legislative or certification requirements apply to unit at the time of publication.</w:t>
      </w:r>
    </w:p>
    <w:p w:rsidR="00000000" w:rsidRPr="000D7199" w:rsidP="000D7199">
      <w:pPr>
        <w:pStyle w:val="Heading1"/>
      </w:pPr>
      <w:bookmarkStart w:id="3" w:name="O_826836"/>
      <w:bookmarkEnd w:id="3"/>
      <w:r w:rsidRPr="000D7199">
        <w:t>Competency Field</w:t>
      </w:r>
    </w:p>
    <w:p w:rsidR="00000000" w:rsidRPr="000D7199" w:rsidP="00F8170B">
      <w:pPr>
        <w:pStyle w:val="BodyText"/>
      </w:pPr>
      <w:r w:rsidRPr="000D7199">
        <w:t>Security</w:t>
      </w:r>
    </w:p>
    <w:p w:rsidR="00000000" w:rsidRPr="000D7199" w:rsidP="000D7199">
      <w:pPr>
        <w:pStyle w:val="Heading1"/>
      </w:pPr>
      <w:bookmarkStart w:id="4" w:name="O_826838"/>
      <w:bookmarkEnd w:id="4"/>
      <w:r w:rsidRPr="000D7199">
        <w:t>Elements and Performance Criteria</w:t>
      </w:r>
    </w:p>
    <w:tbl>
      <w:tblPr>
        <w:tblW w:w="0" w:type="auto"/>
        <w:tblLayout w:type="fixed"/>
        <w:tblCellMar>
          <w:left w:w="62" w:type="dxa"/>
          <w:right w:w="62" w:type="dxa"/>
        </w:tblCellMar>
        <w:tblLook w:val="0000"/>
      </w:tblPr>
      <w:tblGrid>
        <w:gridCol w:w="2203"/>
        <w:gridCol w:w="6804"/>
      </w:tblGrid>
      <w:tr w:rsidTr="000D71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TableHeading"/>
              <w:rPr>
                <w:lang w:val="en-NZ"/>
              </w:rPr>
            </w:pPr>
            <w:r w:rsidRPr="000D719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TableHeading"/>
              <w:rPr>
                <w:lang w:val="en-NZ"/>
              </w:rPr>
            </w:pPr>
            <w:r w:rsidRPr="000D7199">
              <w:t>PERFORMANCE CRITERIA</w:t>
            </w:r>
          </w:p>
        </w:tc>
      </w:tr>
      <w:tr w:rsidTr="000D71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BodyText"/>
              <w:rPr>
                <w:lang w:val="en-NZ"/>
              </w:rPr>
            </w:pPr>
            <w:r w:rsidRPr="000D7199">
              <w:t xml:space="preserve">Elements describe the essential </w:t>
            </w:r>
            <w:r w:rsidRPr="000D7199">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BodyText"/>
              <w:rPr>
                <w:lang w:val="en-NZ"/>
              </w:rPr>
            </w:pPr>
            <w:r w:rsidRPr="000D7199">
              <w:t>Performance criteria describe the performance needed to demonstrate achievement of the element. Where bold italicised text is used, further information is detailed in the range of conditions section.</w:t>
            </w:r>
          </w:p>
        </w:tc>
      </w:tr>
      <w:tr w:rsidTr="000D71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List"/>
              <w:rPr>
                <w:lang w:val="en-NZ"/>
              </w:rPr>
            </w:pPr>
            <w:r w:rsidRPr="000D7199">
              <w:rPr>
                <w:rStyle w:val="SpecialBold"/>
              </w:rPr>
              <w:t>1.</w:t>
            </w:r>
            <w:r w:rsidRPr="000D7199">
              <w:rPr>
                <w:rStyle w:val="SpecialBold"/>
              </w:rPr>
              <w:tab/>
              <w:t>Assess and advise on security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199" w:rsidP="000D7199">
            <w:pPr>
              <w:pStyle w:val="List"/>
            </w:pPr>
            <w:r w:rsidRPr="000D7199">
              <w:t>1.1</w:t>
            </w:r>
            <w:r w:rsidRPr="000D7199">
              <w:tab/>
              <w:t>Identify security incident and respond, according to seriousness of the incident.</w:t>
            </w:r>
          </w:p>
          <w:p w:rsidR="00000000" w:rsidRPr="000D7199" w:rsidP="000D7199">
            <w:pPr>
              <w:pStyle w:val="List"/>
            </w:pPr>
            <w:r w:rsidRPr="000D7199">
              <w:t>1.2</w:t>
            </w:r>
            <w:r w:rsidRPr="000D7199">
              <w:tab/>
              <w:t>Conduct preliminary assessment that considers the nature of the breach, level of risk and likely consequences.</w:t>
            </w:r>
          </w:p>
          <w:p w:rsidR="00000000" w:rsidRPr="000D7199" w:rsidP="000D7199">
            <w:pPr>
              <w:pStyle w:val="List"/>
            </w:pPr>
            <w:r w:rsidRPr="000D7199">
              <w:t>1.3</w:t>
            </w:r>
            <w:r w:rsidRPr="000D7199">
              <w:tab/>
            </w:r>
            <w:r w:rsidRPr="000D7199">
              <w:t>Determine limitations of own expertise and refer to more specialised personnel as required.</w:t>
            </w:r>
          </w:p>
          <w:p w:rsidR="00000000" w:rsidP="000D7199">
            <w:pPr>
              <w:pStyle w:val="List"/>
              <w:rPr>
                <w:lang w:val="en-NZ"/>
              </w:rPr>
            </w:pPr>
            <w:r w:rsidRPr="000D7199">
              <w:t>1.4</w:t>
            </w:r>
            <w:r w:rsidRPr="000D7199">
              <w:tab/>
              <w:t>Maintain records relating to the incident.</w:t>
            </w:r>
          </w:p>
        </w:tc>
      </w:tr>
      <w:tr w:rsidTr="000D71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List"/>
              <w:rPr>
                <w:lang w:val="en-NZ"/>
              </w:rPr>
            </w:pPr>
            <w:r w:rsidRPr="000D7199">
              <w:rPr>
                <w:rStyle w:val="SpecialBold"/>
              </w:rPr>
              <w:t>2.</w:t>
            </w:r>
            <w:r w:rsidRPr="000D7199">
              <w:rPr>
                <w:rStyle w:val="SpecialBold"/>
              </w:rPr>
              <w:tab/>
              <w:t>Plan incident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199" w:rsidP="000D7199">
            <w:pPr>
              <w:pStyle w:val="List"/>
            </w:pPr>
            <w:r w:rsidRPr="000D7199">
              <w:t>2.1</w:t>
            </w:r>
            <w:r w:rsidRPr="000D7199">
              <w:tab/>
              <w:t>Identify, collect and assess evidence to determine risk factor.</w:t>
            </w:r>
          </w:p>
          <w:p w:rsidR="00000000" w:rsidRPr="000D7199" w:rsidP="000D7199">
            <w:pPr>
              <w:pStyle w:val="List"/>
            </w:pPr>
            <w:r w:rsidRPr="000D7199">
              <w:t>2.2</w:t>
            </w:r>
            <w:r w:rsidRPr="000D7199">
              <w:tab/>
              <w:t>Recommend action a</w:t>
            </w:r>
            <w:r w:rsidRPr="000D7199">
              <w:t>ppropriate to the level of seriousness of the incident.</w:t>
            </w:r>
          </w:p>
          <w:p w:rsidR="00000000" w:rsidRPr="000D7199" w:rsidP="000D7199">
            <w:pPr>
              <w:pStyle w:val="List"/>
            </w:pPr>
            <w:r w:rsidRPr="000D7199">
              <w:t>2.3</w:t>
            </w:r>
            <w:r w:rsidRPr="000D7199">
              <w:tab/>
              <w:t>Identify and document changes required in security policy as a result of the incident.</w:t>
            </w:r>
          </w:p>
          <w:p w:rsidR="00000000" w:rsidRPr="000D7199" w:rsidP="000D7199">
            <w:pPr>
              <w:pStyle w:val="List"/>
            </w:pPr>
            <w:r w:rsidRPr="000D7199">
              <w:t>2.4</w:t>
            </w:r>
            <w:r w:rsidRPr="000D7199">
              <w:tab/>
              <w:t>Advise relevant agencies of the incident.</w:t>
            </w:r>
          </w:p>
          <w:p w:rsidR="00000000" w:rsidRPr="000D7199" w:rsidP="000D7199">
            <w:pPr>
              <w:pStyle w:val="List"/>
            </w:pPr>
            <w:r w:rsidRPr="000D7199">
              <w:t>2.5</w:t>
            </w:r>
            <w:r w:rsidRPr="000D7199">
              <w:tab/>
              <w:t>Prepare a final report incorporating background to the inci</w:t>
            </w:r>
            <w:r w:rsidRPr="000D7199">
              <w:t>dent, action taken, interview statements, outcomes, summary of findings and recommended actions.</w:t>
            </w:r>
          </w:p>
        </w:tc>
      </w:tr>
    </w:tbl>
    <w:p w:rsidR="00000000" w:rsidRPr="000D7199" w:rsidP="000D7199">
      <w:pPr>
        <w:pStyle w:val="BodyText"/>
      </w:pPr>
    </w:p>
    <w:p w:rsidR="00000000" w:rsidRPr="000D7199" w:rsidP="000D7199">
      <w:pPr>
        <w:pStyle w:val="AllowPageBreak"/>
      </w:pPr>
    </w:p>
    <w:p w:rsidR="00000000" w:rsidRPr="000D7199" w:rsidP="000D7199">
      <w:pPr>
        <w:pStyle w:val="Heading1"/>
      </w:pPr>
      <w:bookmarkStart w:id="5" w:name="O_826839"/>
      <w:bookmarkEnd w:id="5"/>
      <w:r w:rsidRPr="000D7199">
        <w:t>Foundation Skills</w:t>
      </w:r>
    </w:p>
    <w:p w:rsidR="00000000" w:rsidRPr="000D7199" w:rsidP="00F8170B">
      <w:pPr>
        <w:pStyle w:val="BodyText"/>
      </w:pPr>
      <w:r w:rsidRPr="000D7199">
        <w:t>The foundation skills demands of this unit have been mapped for alignment with the Australian Core Skills Framework (ACSF)</w:t>
      </w:r>
      <w:r w:rsidRPr="000D7199">
        <w:t>. The following tables outline the performance levels indicated for successful attainment of the unit.</w:t>
      </w:r>
    </w:p>
    <w:p w:rsidR="00000000" w:rsidRPr="000D7199" w:rsidP="000D7199">
      <w:pPr>
        <w:pStyle w:val="BodyText"/>
        <w:keepNext/>
      </w:pPr>
    </w:p>
    <w:p w:rsidR="00000000" w:rsidRPr="000D7199" w:rsidP="000D7199">
      <w:pPr>
        <w:pStyle w:val="BodyText"/>
      </w:pPr>
      <w:bookmarkStart w:id="6" w:name="O_8389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5pt">
            <v:imagedata r:id="rId10" o:title=""/>
          </v:shape>
        </w:pict>
      </w:r>
      <w:bookmarkEnd w:id="6"/>
    </w:p>
    <w:p w:rsidR="00000000" w:rsidRPr="000D7199" w:rsidP="000D7199">
      <w:pPr>
        <w:pStyle w:val="BodyText"/>
      </w:pPr>
    </w:p>
    <w:p w:rsidR="00000000" w:rsidRPr="000D7199" w:rsidP="00F8170B">
      <w:pPr>
        <w:pStyle w:val="BodyText"/>
      </w:pPr>
      <w:r w:rsidRPr="000D7199">
        <w:t>Furt</w:t>
      </w:r>
      <w:r w:rsidRPr="000D7199">
        <w:t>her information on ACSF and the foundation skills underpinning this unit can be found in the Foundation Skills Guide on the GSA website.</w:t>
      </w:r>
    </w:p>
    <w:p w:rsidR="00000000" w:rsidRPr="000D7199" w:rsidP="000D7199">
      <w:pPr>
        <w:pStyle w:val="Heading1"/>
      </w:pPr>
      <w:bookmarkStart w:id="7" w:name="O_826841"/>
      <w:bookmarkEnd w:id="7"/>
      <w:r w:rsidRPr="000D7199">
        <w:t>Unit Mapping Information</w:t>
      </w:r>
    </w:p>
    <w:p w:rsidR="00000000" w:rsidRPr="000D7199" w:rsidP="00F8170B">
      <w:pPr>
        <w:pStyle w:val="BodyText"/>
      </w:pPr>
      <w:r w:rsidRPr="000D7199">
        <w:t>This unit supersedes and is equivalent to PSPSEC302A Respond to government se</w:t>
      </w:r>
      <w:r w:rsidRPr="000D7199">
        <w:t>curity incidents.</w:t>
      </w:r>
    </w:p>
    <w:p w:rsidR="00000000" w:rsidRPr="000D7199" w:rsidP="000D7199">
      <w:pPr>
        <w:pStyle w:val="Heading1"/>
      </w:pPr>
      <w:bookmarkStart w:id="8" w:name="O_826848"/>
      <w:bookmarkEnd w:id="8"/>
      <w:r w:rsidRPr="000D7199">
        <w:t>Links</w:t>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F8170B">
      <w:pPr>
        <w:pStyle w:val="BodyText"/>
        <w:sectPr w:rsidSect="000D7199">
          <w:headerReference w:type="default" r:id="rId11"/>
          <w:footerReference w:type="default" r:id="rId12"/>
          <w:pgSz w:w="11908" w:h="16833"/>
          <w:pgMar w:top="1702" w:right="1418" w:bottom="1702" w:left="1418" w:header="992" w:footer="992" w:gutter="0"/>
          <w:cols w:space="720"/>
          <w:noEndnote/>
          <w:docGrid w:linePitch="299"/>
        </w:sectPr>
      </w:pPr>
    </w:p>
    <w:p w:rsidR="00000000" w:rsidRPr="000D7199" w:rsidP="000D7199">
      <w:pPr>
        <w:pStyle w:val="SuperHeading"/>
      </w:pPr>
      <w:r w:rsidRPr="000D7199">
        <w:t>Assessment Requirements for</w:t>
      </w:r>
      <w:r w:rsidRPr="000D7199">
        <w:t xml:space="preserve"> PSPSEC002 Respond to government security incidents</w:t>
      </w:r>
    </w:p>
    <w:p w:rsidR="00000000" w:rsidRPr="000D7199" w:rsidP="000D7199">
      <w:pPr>
        <w:pStyle w:val="Heading1"/>
      </w:pPr>
      <w:bookmarkStart w:id="9" w:name="O_826843"/>
      <w:bookmarkEnd w:id="9"/>
      <w:r w:rsidRPr="000D7199">
        <w:t>Modification History</w:t>
      </w:r>
    </w:p>
    <w:tbl>
      <w:tblPr>
        <w:tblW w:w="0" w:type="auto"/>
        <w:tblLayout w:type="fixed"/>
        <w:tblCellMar>
          <w:left w:w="62" w:type="dxa"/>
          <w:right w:w="62" w:type="dxa"/>
        </w:tblCellMar>
        <w:tblLook w:val="0000"/>
      </w:tblPr>
      <w:tblGrid>
        <w:gridCol w:w="1134"/>
        <w:gridCol w:w="7937"/>
      </w:tblGrid>
      <w:tr w:rsidTr="00F817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TableHeading"/>
              <w:rPr>
                <w:lang w:val="en-NZ"/>
              </w:rPr>
            </w:pPr>
            <w:r w:rsidRPr="000D71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TableHeading"/>
              <w:rPr>
                <w:lang w:val="en-NZ"/>
              </w:rPr>
            </w:pPr>
            <w:r w:rsidRPr="000D7199">
              <w:t>Comments</w:t>
            </w:r>
          </w:p>
        </w:tc>
      </w:tr>
      <w:tr w:rsidTr="00F817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199">
            <w:pPr>
              <w:pStyle w:val="BodyText"/>
              <w:rPr>
                <w:lang w:val="en-NZ"/>
              </w:rPr>
            </w:pPr>
            <w:r w:rsidRPr="000D71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199" w:rsidP="000D7199">
            <w:pPr>
              <w:pStyle w:val="BodyText"/>
            </w:pPr>
            <w:r w:rsidRPr="000D7199">
              <w:t xml:space="preserve">These Assessment Requirements were released in PSP Public Sector Training Package release 1.0 and meet the Standards for Training Packages. </w:t>
            </w:r>
          </w:p>
          <w:p w:rsidR="00000000" w:rsidRPr="000D7199" w:rsidP="000D7199">
            <w:pPr>
              <w:pStyle w:val="BodyText"/>
            </w:pPr>
          </w:p>
          <w:p w:rsidR="00000000" w:rsidRPr="000D7199" w:rsidP="000D7199">
            <w:pPr>
              <w:pStyle w:val="ListBullet"/>
            </w:pPr>
            <w:r w:rsidRPr="000D7199">
              <w:t>Asse</w:t>
            </w:r>
            <w:r w:rsidRPr="000D7199">
              <w:t>ssment Requirements created drawing upon specified assessment information from superseded unit</w:t>
            </w:r>
          </w:p>
        </w:tc>
      </w:tr>
    </w:tbl>
    <w:p w:rsidR="00000000" w:rsidRPr="000D7199" w:rsidP="000D7199">
      <w:pPr>
        <w:pStyle w:val="BodyText"/>
      </w:pPr>
    </w:p>
    <w:p w:rsidR="00000000" w:rsidRPr="000D7199" w:rsidP="000D7199">
      <w:pPr>
        <w:pStyle w:val="AllowPageBreak"/>
      </w:pPr>
    </w:p>
    <w:p w:rsidR="00000000" w:rsidRPr="000D7199" w:rsidP="000D7199">
      <w:pPr>
        <w:pStyle w:val="Heading1"/>
      </w:pPr>
      <w:bookmarkStart w:id="10" w:name="O_826844"/>
      <w:bookmarkEnd w:id="10"/>
      <w:r w:rsidRPr="000D7199">
        <w:t>Performance Evidence</w:t>
      </w:r>
    </w:p>
    <w:p w:rsidR="00000000" w:rsidRPr="000D7199" w:rsidP="00F8170B">
      <w:pPr>
        <w:pStyle w:val="BodyText"/>
      </w:pPr>
      <w:r w:rsidRPr="000D7199">
        <w:t>Evidence required to demonstrate com</w:t>
      </w:r>
      <w:r w:rsidRPr="000D7199">
        <w:t>petence must satisfy all of the requirements of the elements and performance criteria. If not otherwise specified the candidate must demonstrate evidence of performance of the following on at least two occasions.</w:t>
      </w:r>
    </w:p>
    <w:p w:rsidR="00000000" w:rsidRPr="000D7199" w:rsidP="000D7199">
      <w:pPr>
        <w:pStyle w:val="ListBullet"/>
      </w:pPr>
      <w:r w:rsidRPr="000D7199">
        <w:t>applying legislation, regulations and poli</w:t>
      </w:r>
      <w:r w:rsidRPr="000D7199">
        <w:t>cies relating to government security management</w:t>
      </w:r>
    </w:p>
    <w:p w:rsidR="00000000" w:rsidRPr="000D7199" w:rsidP="000D7199">
      <w:pPr>
        <w:pStyle w:val="ListBullet"/>
      </w:pPr>
      <w:r w:rsidRPr="000D7199">
        <w:t>undertaking research, analysis, including trend analysis, and problem-solving</w:t>
      </w:r>
    </w:p>
    <w:p w:rsidR="00000000" w:rsidRPr="000D7199" w:rsidP="000D7199">
      <w:pPr>
        <w:pStyle w:val="ListBullet"/>
      </w:pPr>
      <w:r w:rsidRPr="000D7199">
        <w:t>using communication techniques including interviewing, tailored to diverse stakeholder groups</w:t>
      </w:r>
    </w:p>
    <w:p w:rsidR="00000000" w:rsidRPr="000D7199" w:rsidP="000D7199">
      <w:pPr>
        <w:pStyle w:val="ListBullet"/>
      </w:pPr>
      <w:r w:rsidRPr="000D7199">
        <w:t>planning, carrying out and guiding an investigation</w:t>
      </w:r>
    </w:p>
    <w:p w:rsidR="00000000" w:rsidRPr="000D7199" w:rsidP="000D7199">
      <w:pPr>
        <w:pStyle w:val="ListBullet"/>
      </w:pPr>
      <w:r w:rsidRPr="000D7199">
        <w:t>recording evidence</w:t>
      </w:r>
    </w:p>
    <w:p w:rsidR="00000000" w:rsidRPr="000D7199" w:rsidP="000D7199">
      <w:pPr>
        <w:pStyle w:val="ListBullet"/>
      </w:pPr>
      <w:r w:rsidRPr="000D7199">
        <w:t>writing reports and recommendations</w:t>
      </w:r>
    </w:p>
    <w:p w:rsidR="00000000" w:rsidRPr="000D7199" w:rsidP="000D7199">
      <w:pPr>
        <w:pStyle w:val="ListBullet"/>
      </w:pPr>
      <w:r w:rsidRPr="000D7199">
        <w:t>maintaining expedited, complete and accurate records</w:t>
      </w:r>
    </w:p>
    <w:p w:rsidR="00000000" w:rsidRPr="000D7199" w:rsidP="000D7199">
      <w:pPr>
        <w:pStyle w:val="AllowPageBreak"/>
      </w:pPr>
    </w:p>
    <w:p w:rsidR="00000000" w:rsidRPr="000D7199" w:rsidP="000D7199">
      <w:pPr>
        <w:pStyle w:val="Heading1"/>
      </w:pPr>
      <w:bookmarkStart w:id="11" w:name="O_826845"/>
      <w:bookmarkEnd w:id="11"/>
      <w:r w:rsidRPr="000D7199">
        <w:t>Knowledge Evidence</w:t>
      </w:r>
    </w:p>
    <w:p w:rsidR="00000000" w:rsidRPr="000D7199" w:rsidP="00F8170B">
      <w:pPr>
        <w:pStyle w:val="BodyText"/>
      </w:pPr>
      <w:r w:rsidRPr="000D7199">
        <w:t>Evidence required to demonstrate competence must satisfy all</w:t>
      </w:r>
      <w:r w:rsidRPr="000D7199">
        <w:t xml:space="preserve"> of the requirements of the elements and performance criteria. If not otherwise specified the depth of knowledge demonstrated must be appropriate to the job context of the candidate.</w:t>
      </w:r>
    </w:p>
    <w:p w:rsidR="00000000" w:rsidRPr="000D7199" w:rsidP="000D7199">
      <w:pPr>
        <w:pStyle w:val="ListBullet"/>
      </w:pPr>
      <w:r w:rsidRPr="000D7199">
        <w:t>legislation, regulations, policies, procedures and guidelines relating t</w:t>
      </w:r>
      <w:r w:rsidRPr="000D7199">
        <w:t>o government security management</w:t>
      </w:r>
    </w:p>
    <w:p w:rsidR="00000000" w:rsidRPr="000D7199" w:rsidP="000D7199">
      <w:pPr>
        <w:pStyle w:val="ListBullet"/>
      </w:pPr>
      <w:r w:rsidRPr="000D7199">
        <w:t>organisation’s security plan</w:t>
      </w:r>
    </w:p>
    <w:p w:rsidR="00000000" w:rsidRPr="000D7199" w:rsidP="000D7199">
      <w:pPr>
        <w:pStyle w:val="ListBullet"/>
      </w:pPr>
      <w:r w:rsidRPr="000D7199">
        <w:t>Crimes Act 1914 and Criminal Code 1985</w:t>
      </w:r>
    </w:p>
    <w:p w:rsidR="00000000" w:rsidRPr="000D7199" w:rsidP="000D7199">
      <w:pPr>
        <w:pStyle w:val="ListBullet"/>
      </w:pPr>
      <w:r w:rsidRPr="000D7199">
        <w:t>powers inferred to investigate security incidents, including limitations</w:t>
      </w:r>
    </w:p>
    <w:p w:rsidR="00000000" w:rsidRPr="000D7199" w:rsidP="000D7199">
      <w:pPr>
        <w:pStyle w:val="ListBullet"/>
      </w:pPr>
      <w:r w:rsidRPr="000D7199">
        <w:t>referral procedures and appropriate agencies</w:t>
      </w:r>
    </w:p>
    <w:p w:rsidR="00000000" w:rsidRPr="000D7199" w:rsidP="000D7199">
      <w:pPr>
        <w:pStyle w:val="ListBullet"/>
      </w:pPr>
      <w:r w:rsidRPr="000D7199">
        <w:t>intelligence and analytical processes</w:t>
      </w:r>
    </w:p>
    <w:p w:rsidR="00000000" w:rsidRPr="000D7199" w:rsidP="000D7199">
      <w:pPr>
        <w:pStyle w:val="ListBullet"/>
      </w:pPr>
      <w:r w:rsidRPr="000D7199">
        <w:t>conduct of administrative, security or criminal investigations</w:t>
      </w:r>
    </w:p>
    <w:p w:rsidR="00000000" w:rsidRPr="000D7199" w:rsidP="000D7199">
      <w:pPr>
        <w:pStyle w:val="AllowPageBreak"/>
      </w:pPr>
    </w:p>
    <w:p w:rsidR="00000000" w:rsidRPr="000D7199" w:rsidP="000D7199">
      <w:pPr>
        <w:pStyle w:val="Heading1"/>
      </w:pPr>
      <w:bookmarkStart w:id="12" w:name="O_826846"/>
      <w:bookmarkEnd w:id="12"/>
      <w:r w:rsidRPr="000D7199">
        <w:t>Assessment Conditions</w:t>
      </w:r>
    </w:p>
    <w:p w:rsidR="00000000" w:rsidRPr="000D7199" w:rsidP="00F8170B">
      <w:pPr>
        <w:pStyle w:val="BodyText"/>
      </w:pPr>
      <w:r w:rsidRPr="000D7199">
        <w:t>Assessment of this unit requires a workplace environment or one that closely resembles normal work practice and replicates the range of conditions likely</w:t>
      </w:r>
      <w:r w:rsidRPr="000D7199">
        <w:t xml:space="preserve"> to be encountered when responding to security incidents.</w:t>
      </w:r>
    </w:p>
    <w:p w:rsidR="00F8170B" w:rsidP="00F8170B">
      <w:pPr>
        <w:pStyle w:val="BodyText"/>
      </w:pPr>
      <w:r w:rsidRPr="000D7199">
        <w:t>Assessors must satisfy the NVR/AQTF mandatory competency requirements for assessors.</w:t>
      </w:r>
    </w:p>
    <w:p w:rsidR="00000000" w:rsidRPr="000D7199" w:rsidP="000D7199">
      <w:pPr>
        <w:pStyle w:val="Heading1"/>
      </w:pPr>
      <w:bookmarkStart w:id="13" w:name="O_826849"/>
      <w:bookmarkEnd w:id="13"/>
      <w:r w:rsidRPr="000D7199">
        <w:t>Links</w:t>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F8170B">
      <w:pPr>
        <w:pStyle w:val="BodyText"/>
      </w:pPr>
      <w:r w:rsidRPr="000D71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6E83">
        <w:rPr>
          <w:rStyle w:val="Hyperlink"/>
        </w:rPr>
        <w:t>https://vetnet.gov.au/Pages/TrainingDocs.aspx?q=bebbece7-ff48-4d2c-8876-405679019623</w:t>
      </w:r>
      <w:r>
        <w:fldChar w:fldCharType="end"/>
      </w:r>
    </w:p>
    <w:p w:rsidR="00000000" w:rsidRPr="000D7199" w:rsidP="000D7199"/>
    <w:sectPr w:rsidSect="000D719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rsidRPr="00F8170B" w:rsidP="00F81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0B" w:rsidP="000D7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70B" w:rsidP="000D71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8170B" w:rsidP="000D71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rsidP="000D7199">
    <w:pPr>
      <w:pStyle w:val="Footer"/>
      <w:framePr w:wrap="around"/>
    </w:pPr>
    <w:r>
      <w:fldChar w:fldCharType="begin"/>
    </w:r>
    <w:r>
      <w:instrText xml:space="preserve"> DOCPROPERTY  Subject  \* MERGEFORMAT </w:instrText>
    </w:r>
    <w:r>
      <w:fldChar w:fldCharType="separate"/>
    </w:r>
    <w:r w:rsidR="00F8170B">
      <w:t>Approved</w:t>
    </w:r>
    <w:r w:rsidR="00F8170B">
      <w:fldChar w:fldCharType="end"/>
    </w:r>
    <w:r>
      <w:tab/>
      <w:t xml:space="preserve">Page </w:t>
    </w:r>
    <w:r>
      <w:fldChar w:fldCharType="begin"/>
    </w:r>
    <w:r>
      <w:instrText xml:space="preserve"> PAGE  \* Arabic  \* MERGEFORMAT </w:instrText>
    </w:r>
    <w:r>
      <w:fldChar w:fldCharType="separate"/>
    </w:r>
    <w:r w:rsidR="00F817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70B">
      <w:rPr>
        <w:noProof/>
      </w:rPr>
      <w:t>4</w:t>
    </w:r>
    <w:r>
      <w:rPr>
        <w:noProof/>
      </w:rPr>
      <w:fldChar w:fldCharType="end"/>
    </w:r>
  </w:p>
  <w:p w:rsidR="000D7199" w:rsidP="000D7199">
    <w:pPr>
      <w:pStyle w:val="Footer"/>
      <w:framePr w:wrap="around"/>
    </w:pPr>
    <w:r>
      <w:t xml:space="preserve">© Commonwealth of Australia, </w:t>
    </w:r>
    <w:r>
      <w:fldChar w:fldCharType="begin"/>
    </w:r>
    <w:r>
      <w:instrText xml:space="preserve"> DATE  \@ "yyyy"  \* MERGEFORMAT </w:instrText>
    </w:r>
    <w:r>
      <w:fldChar w:fldCharType="separate"/>
    </w:r>
    <w:r w:rsidR="00F8170B">
      <w:rPr>
        <w:noProof/>
      </w:rPr>
      <w:t>2025</w:t>
    </w:r>
    <w:r>
      <w:fldChar w:fldCharType="end"/>
    </w:r>
    <w:r>
      <w:tab/>
    </w:r>
    <w:r>
      <w:fldChar w:fldCharType="begin"/>
    </w:r>
    <w:r>
      <w:instrText xml:space="preserve"> DOCPROPERTY  Author  \* MERGEFORMAT </w:instrText>
    </w:r>
    <w:r>
      <w:fldChar w:fldCharType="separate"/>
    </w:r>
    <w:r w:rsidR="00F8170B">
      <w:t>Public Skills Australia</w:t>
    </w:r>
    <w:r w:rsidR="00F8170B">
      <w:fldChar w:fldCharType="end"/>
    </w:r>
  </w:p>
  <w:p w:rsidR="000D7199" w:rsidP="000D7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199" w:rsidRPr="00F8170B" w:rsidP="00F81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0B" w:rsidRPr="002D2AF8" w:rsidP="000D7199">
    <w:pPr>
      <w:pStyle w:val="Header"/>
      <w:framePr w:wrap="around"/>
    </w:pPr>
    <w:r>
      <w:fldChar w:fldCharType="begin"/>
    </w:r>
    <w:r>
      <w:instrText xml:space="preserve"> TITLE   \* MERGEFORMAT </w:instrText>
    </w:r>
    <w:r>
      <w:fldChar w:fldCharType="separate"/>
    </w:r>
    <w:r>
      <w:t>PSPSEC002 Respond to government security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170B" w:rsidP="000D71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99" w:rsidRPr="002D2AF8" w:rsidP="000D7199">
    <w:pPr>
      <w:pStyle w:val="Header"/>
      <w:framePr w:wrap="around"/>
    </w:pPr>
    <w:r>
      <w:fldChar w:fldCharType="begin"/>
    </w:r>
    <w:r>
      <w:instrText xml:space="preserve"> TITLE   \* MERGEFORMAT </w:instrText>
    </w:r>
    <w:r>
      <w:fldChar w:fldCharType="separate"/>
    </w:r>
    <w:r w:rsidR="00F8170B">
      <w:t>PSPSEC002 Respond to government security incidents</w:t>
    </w:r>
    <w:r w:rsidR="00F8170B">
      <w:fldChar w:fldCharType="end"/>
    </w:r>
    <w:r>
      <w:tab/>
      <w:t xml:space="preserve">Date this document was generated: </w:t>
    </w:r>
    <w:r>
      <w:fldChar w:fldCharType="begin"/>
    </w:r>
    <w:r>
      <w:instrText xml:space="preserve"> CREATEDATE  \@ "d MMMM yyyy"  \* MERGEFORMAT </w:instrText>
    </w:r>
    <w:r>
      <w:fldChar w:fldCharType="separate"/>
    </w:r>
    <w:r w:rsidR="00F8170B">
      <w:rPr>
        <w:noProof/>
      </w:rPr>
      <w:t>1 March 2025</w:t>
    </w:r>
    <w:r>
      <w:fldChar w:fldCharType="end"/>
    </w:r>
  </w:p>
  <w:p w:rsidR="000D7199" w:rsidP="000D7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8CF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4CB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199"/>
    <w:pPr>
      <w:spacing w:before="360" w:after="60"/>
      <w:outlineLvl w:val="0"/>
    </w:pPr>
    <w:rPr>
      <w:sz w:val="32"/>
    </w:rPr>
  </w:style>
  <w:style w:type="paragraph" w:styleId="Heading2">
    <w:name w:val="heading 2"/>
    <w:basedOn w:val="HeadingBase"/>
    <w:next w:val="BodyText"/>
    <w:link w:val="Heading2Char"/>
    <w:qFormat/>
    <w:rsid w:val="000D7199"/>
    <w:pPr>
      <w:keepLines/>
      <w:spacing w:before="240" w:after="120"/>
      <w:outlineLvl w:val="1"/>
    </w:pPr>
    <w:rPr>
      <w:sz w:val="28"/>
      <w:szCs w:val="40"/>
    </w:rPr>
  </w:style>
  <w:style w:type="paragraph" w:styleId="Heading3">
    <w:name w:val="heading 3"/>
    <w:basedOn w:val="HeadingBase"/>
    <w:next w:val="BodyText"/>
    <w:link w:val="Heading3Char"/>
    <w:qFormat/>
    <w:rsid w:val="000D7199"/>
    <w:pPr>
      <w:spacing w:before="180" w:after="120"/>
      <w:outlineLvl w:val="2"/>
    </w:pPr>
    <w:rPr>
      <w:spacing w:val="-10"/>
      <w:kern w:val="32"/>
    </w:rPr>
  </w:style>
  <w:style w:type="paragraph" w:styleId="Heading4">
    <w:name w:val="heading 4"/>
    <w:basedOn w:val="HeadingBase"/>
    <w:next w:val="BodyText"/>
    <w:link w:val="Heading4Char"/>
    <w:qFormat/>
    <w:rsid w:val="000D7199"/>
    <w:pPr>
      <w:spacing w:before="160" w:after="120"/>
      <w:outlineLvl w:val="3"/>
    </w:pPr>
    <w:rPr>
      <w:sz w:val="22"/>
    </w:rPr>
  </w:style>
  <w:style w:type="paragraph" w:styleId="Heading5">
    <w:name w:val="heading 5"/>
    <w:basedOn w:val="HeadingBase"/>
    <w:next w:val="Normal"/>
    <w:link w:val="Heading5Char"/>
    <w:qFormat/>
    <w:rsid w:val="000D7199"/>
    <w:pPr>
      <w:spacing w:before="80"/>
      <w:outlineLvl w:val="4"/>
    </w:pPr>
    <w:rPr>
      <w:color w:val="918585"/>
      <w:sz w:val="20"/>
    </w:rPr>
  </w:style>
  <w:style w:type="paragraph" w:styleId="Heading6">
    <w:name w:val="heading 6"/>
    <w:basedOn w:val="HeadingBase"/>
    <w:next w:val="Normal"/>
    <w:link w:val="Heading6Char"/>
    <w:qFormat/>
    <w:rsid w:val="000D7199"/>
    <w:pPr>
      <w:spacing w:before="60"/>
      <w:outlineLvl w:val="5"/>
    </w:pPr>
    <w:rPr>
      <w:color w:val="918585"/>
      <w:sz w:val="20"/>
    </w:rPr>
  </w:style>
  <w:style w:type="paragraph" w:styleId="Heading7">
    <w:name w:val="heading 7"/>
    <w:basedOn w:val="Normal"/>
    <w:next w:val="Normal"/>
    <w:link w:val="Heading7Char"/>
    <w:qFormat/>
    <w:rsid w:val="000D7199"/>
    <w:pPr>
      <w:ind w:left="720"/>
      <w:outlineLvl w:val="6"/>
    </w:pPr>
    <w:rPr>
      <w:i/>
    </w:rPr>
  </w:style>
  <w:style w:type="paragraph" w:styleId="Heading8">
    <w:name w:val="heading 8"/>
    <w:basedOn w:val="Normal"/>
    <w:next w:val="Normal"/>
    <w:link w:val="Heading8Char"/>
    <w:qFormat/>
    <w:rsid w:val="000D7199"/>
    <w:pPr>
      <w:ind w:left="720"/>
      <w:outlineLvl w:val="7"/>
    </w:pPr>
    <w:rPr>
      <w:i/>
    </w:rPr>
  </w:style>
  <w:style w:type="paragraph" w:styleId="Heading9">
    <w:name w:val="heading 9"/>
    <w:basedOn w:val="Normal"/>
    <w:next w:val="Normal"/>
    <w:link w:val="Heading9Char"/>
    <w:qFormat/>
    <w:rsid w:val="000D7199"/>
    <w:pPr>
      <w:ind w:left="720"/>
      <w:outlineLvl w:val="8"/>
    </w:pPr>
    <w:rPr>
      <w:i/>
    </w:rPr>
  </w:style>
  <w:style w:type="character" w:default="1" w:styleId="DefaultParagraphFont">
    <w:name w:val="Default Paragraph Font"/>
    <w:uiPriority w:val="1"/>
    <w:unhideWhenUsed/>
    <w:rsid w:val="000D7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199"/>
  </w:style>
  <w:style w:type="character" w:customStyle="1" w:styleId="Heading1Char">
    <w:name w:val="Heading 1 Char"/>
    <w:basedOn w:val="DefaultParagraphFont"/>
    <w:link w:val="Heading1"/>
    <w:rsid w:val="000D7199"/>
    <w:rPr>
      <w:rFonts w:ascii="Times New Roman" w:eastAsia="Times New Roman" w:hAnsi="Times New Roman" w:cs="Times New Roman"/>
      <w:b/>
      <w:sz w:val="32"/>
      <w:szCs w:val="20"/>
      <w:lang w:eastAsia="en-US"/>
    </w:rPr>
  </w:style>
  <w:style w:type="paragraph" w:styleId="BodyText">
    <w:name w:val="Body Text"/>
    <w:basedOn w:val="Normal"/>
    <w:link w:val="BodyTextChar"/>
    <w:rsid w:val="000D7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199"/>
    <w:rPr>
      <w:rFonts w:ascii="Times New Roman" w:eastAsia="Times New Roman" w:hAnsi="Times New Roman" w:cs="Times New Roman"/>
      <w:sz w:val="24"/>
      <w:lang w:eastAsia="en-US"/>
    </w:rPr>
  </w:style>
  <w:style w:type="paragraph" w:styleId="List">
    <w:name w:val="List"/>
    <w:basedOn w:val="BodyText"/>
    <w:next w:val="BodyText"/>
    <w:rsid w:val="000D7199"/>
    <w:pPr>
      <w:tabs>
        <w:tab w:val="left" w:pos="340"/>
      </w:tabs>
      <w:spacing w:before="60" w:after="60"/>
      <w:ind w:left="340" w:hanging="340"/>
    </w:pPr>
  </w:style>
  <w:style w:type="paragraph" w:styleId="ListBullet">
    <w:name w:val="List Bullet"/>
    <w:basedOn w:val="List"/>
    <w:rsid w:val="000D7199"/>
    <w:pPr>
      <w:numPr>
        <w:numId w:val="11"/>
      </w:numPr>
      <w:tabs>
        <w:tab w:val="clear" w:pos="340"/>
      </w:tabs>
      <w:spacing w:before="40" w:after="40"/>
    </w:pPr>
  </w:style>
  <w:style w:type="character" w:customStyle="1" w:styleId="SpecialBold">
    <w:name w:val="Special Bold"/>
    <w:basedOn w:val="DefaultParagraphFont"/>
    <w:rsid w:val="000D7199"/>
    <w:rPr>
      <w:b/>
      <w:spacing w:val="0"/>
    </w:rPr>
  </w:style>
  <w:style w:type="paragraph" w:customStyle="1" w:styleId="SuperHeading">
    <w:name w:val="SuperHeading"/>
    <w:basedOn w:val="Normal"/>
    <w:rsid w:val="000D7199"/>
    <w:pPr>
      <w:spacing w:before="240" w:after="120"/>
      <w:outlineLvl w:val="0"/>
    </w:pPr>
    <w:rPr>
      <w:rFonts w:ascii="Times New Roman" w:hAnsi="Times New Roman"/>
      <w:b/>
      <w:sz w:val="32"/>
    </w:rPr>
  </w:style>
  <w:style w:type="paragraph" w:customStyle="1" w:styleId="TableHeading">
    <w:name w:val="Table Heading"/>
    <w:basedOn w:val="HeadingBase"/>
    <w:rsid w:val="000D7199"/>
    <w:pPr>
      <w:keepLines/>
      <w:pBdr>
        <w:bottom w:val="single" w:sz="6" w:space="1" w:color="918585"/>
      </w:pBdr>
      <w:spacing w:before="240"/>
    </w:pPr>
  </w:style>
  <w:style w:type="paragraph" w:customStyle="1" w:styleId="AllowPageBreak">
    <w:name w:val="AllowPageBreak"/>
    <w:rsid w:val="000D7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199"/>
    <w:rPr>
      <w:rFonts w:ascii="Courier New" w:eastAsia="Times New Roman" w:hAnsi="Courier New" w:cs="Times New Roman"/>
      <w:i/>
      <w:szCs w:val="20"/>
      <w:lang w:eastAsia="en-US"/>
    </w:rPr>
  </w:style>
  <w:style w:type="paragraph" w:customStyle="1" w:styleId="HeadingBase">
    <w:name w:val="Heading Base"/>
    <w:rsid w:val="000D7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199"/>
    <w:pPr>
      <w:tabs>
        <w:tab w:val="right" w:leader="dot" w:pos="9072"/>
      </w:tabs>
      <w:ind w:left="567"/>
    </w:pPr>
    <w:rPr>
      <w:szCs w:val="22"/>
    </w:rPr>
  </w:style>
  <w:style w:type="paragraph" w:customStyle="1" w:styleId="TOCBase">
    <w:name w:val="TOC Base"/>
    <w:rsid w:val="000D7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199"/>
    <w:pPr>
      <w:tabs>
        <w:tab w:val="right" w:leader="dot" w:pos="9072"/>
      </w:tabs>
      <w:spacing w:before="40" w:after="40"/>
      <w:ind w:left="284"/>
    </w:pPr>
    <w:rPr>
      <w:rFonts w:ascii="Times New Roman" w:hAnsi="Times New Roman"/>
    </w:rPr>
  </w:style>
  <w:style w:type="paragraph" w:styleId="TOC1">
    <w:name w:val="toc 1"/>
    <w:basedOn w:val="TOCBase"/>
    <w:next w:val="Normal"/>
    <w:rsid w:val="000D7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199"/>
    <w:rPr>
      <w:rFonts w:ascii="Times New Roman" w:eastAsia="Times New Roman" w:hAnsi="Times New Roman" w:cs="Times New Roman"/>
      <w:sz w:val="16"/>
      <w:lang w:eastAsia="en-US"/>
    </w:rPr>
  </w:style>
  <w:style w:type="paragraph" w:styleId="Title">
    <w:name w:val="Title"/>
    <w:basedOn w:val="HeadingBase"/>
    <w:link w:val="TitleChar"/>
    <w:qFormat/>
    <w:rsid w:val="000D7199"/>
    <w:pPr>
      <w:spacing w:before="5040"/>
      <w:jc w:val="center"/>
    </w:pPr>
    <w:rPr>
      <w:sz w:val="48"/>
      <w:szCs w:val="72"/>
      <w:lang w:val="en-US"/>
    </w:rPr>
  </w:style>
  <w:style w:type="character" w:customStyle="1" w:styleId="TitleChar">
    <w:name w:val="Title Char"/>
    <w:basedOn w:val="DefaultParagraphFont"/>
    <w:link w:val="Title"/>
    <w:rsid w:val="000D7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199"/>
    <w:pPr>
      <w:tabs>
        <w:tab w:val="left" w:pos="3600"/>
        <w:tab w:val="left" w:pos="3958"/>
      </w:tabs>
    </w:pPr>
  </w:style>
  <w:style w:type="paragraph" w:customStyle="1" w:styleId="Note">
    <w:name w:val="Note"/>
    <w:basedOn w:val="BodyText"/>
    <w:rsid w:val="000D7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199"/>
    <w:pPr>
      <w:framePr w:wrap="auto" w:hAnchor="text" w:y="6049"/>
    </w:pPr>
    <w:rPr>
      <w:color w:val="000000"/>
      <w:sz w:val="40"/>
    </w:rPr>
  </w:style>
  <w:style w:type="paragraph" w:customStyle="1" w:styleId="TOCTitle">
    <w:name w:val="TOCTitle"/>
    <w:basedOn w:val="Heading1"/>
    <w:rsid w:val="000D7199"/>
    <w:pPr>
      <w:spacing w:after="240"/>
      <w:jc w:val="center"/>
      <w:outlineLvl w:val="9"/>
    </w:pPr>
    <w:rPr>
      <w:caps/>
    </w:rPr>
  </w:style>
  <w:style w:type="paragraph" w:customStyle="1" w:styleId="Version">
    <w:name w:val="Version"/>
    <w:rsid w:val="000D7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199"/>
    <w:pPr>
      <w:numPr>
        <w:numId w:val="12"/>
      </w:numPr>
      <w:tabs>
        <w:tab w:val="clear" w:pos="680"/>
      </w:tabs>
    </w:pPr>
  </w:style>
  <w:style w:type="paragraph" w:styleId="Index1">
    <w:name w:val="index 1"/>
    <w:basedOn w:val="Normal"/>
    <w:next w:val="Normal"/>
    <w:semiHidden/>
    <w:rsid w:val="000D7199"/>
    <w:pPr>
      <w:keepNext w:val="0"/>
      <w:tabs>
        <w:tab w:val="right" w:pos="4176"/>
      </w:tabs>
      <w:ind w:left="198" w:hanging="198"/>
    </w:pPr>
    <w:rPr>
      <w:rFonts w:ascii="Garamond" w:hAnsi="Garamond"/>
    </w:rPr>
  </w:style>
  <w:style w:type="paragraph" w:styleId="IndexHeading">
    <w:name w:val="index heading"/>
    <w:basedOn w:val="Normal"/>
    <w:next w:val="Index1"/>
    <w:semiHidden/>
    <w:rsid w:val="000D7199"/>
    <w:pPr>
      <w:spacing w:before="120" w:after="120"/>
    </w:pPr>
    <w:rPr>
      <w:rFonts w:ascii="Arial" w:hAnsi="Arial"/>
      <w:b/>
      <w:color w:val="918585"/>
      <w:sz w:val="24"/>
    </w:rPr>
  </w:style>
  <w:style w:type="paragraph" w:styleId="Header">
    <w:name w:val="header"/>
    <w:basedOn w:val="Normal"/>
    <w:link w:val="HeaderChar"/>
    <w:rsid w:val="000D7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199"/>
    <w:rPr>
      <w:rFonts w:ascii="Times New Roman" w:eastAsia="Times New Roman" w:hAnsi="Times New Roman" w:cs="Times New Roman"/>
      <w:sz w:val="16"/>
      <w:szCs w:val="20"/>
      <w:lang w:val="en-GB" w:eastAsia="en-US"/>
    </w:rPr>
  </w:style>
  <w:style w:type="paragraph" w:customStyle="1" w:styleId="Chapter">
    <w:name w:val="Chapter"/>
    <w:basedOn w:val="Normal"/>
    <w:rsid w:val="000D7199"/>
    <w:pPr>
      <w:spacing w:before="240"/>
    </w:pPr>
    <w:rPr>
      <w:rFonts w:ascii="Times New Roman" w:hAnsi="Times New Roman"/>
      <w:smallCaps/>
      <w:spacing w:val="80"/>
      <w:sz w:val="28"/>
    </w:rPr>
  </w:style>
  <w:style w:type="paragraph" w:customStyle="1" w:styleId="InChapter">
    <w:name w:val="InChapter"/>
    <w:basedOn w:val="Heading3"/>
    <w:rsid w:val="000D7199"/>
    <w:pPr>
      <w:spacing w:after="240"/>
      <w:outlineLvl w:val="9"/>
    </w:pPr>
    <w:rPr>
      <w:noProof/>
    </w:rPr>
  </w:style>
  <w:style w:type="paragraph" w:styleId="Index2">
    <w:name w:val="index 2"/>
    <w:basedOn w:val="Normal"/>
    <w:next w:val="Normal"/>
    <w:semiHidden/>
    <w:rsid w:val="000D7199"/>
    <w:pPr>
      <w:tabs>
        <w:tab w:val="right" w:pos="4176"/>
      </w:tabs>
      <w:ind w:left="568" w:hanging="284"/>
    </w:pPr>
    <w:rPr>
      <w:rFonts w:ascii="Garamond" w:hAnsi="Garamond"/>
    </w:rPr>
  </w:style>
  <w:style w:type="paragraph" w:customStyle="1" w:styleId="Byline">
    <w:name w:val="Byline"/>
    <w:rsid w:val="000D7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199"/>
    <w:pPr>
      <w:tabs>
        <w:tab w:val="clear" w:pos="3600"/>
        <w:tab w:val="clear" w:pos="3958"/>
      </w:tabs>
      <w:jc w:val="right"/>
    </w:pPr>
  </w:style>
  <w:style w:type="character" w:styleId="Emphasis">
    <w:name w:val="Emphasis"/>
    <w:basedOn w:val="DefaultParagraphFont"/>
    <w:qFormat/>
    <w:rsid w:val="000D7199"/>
    <w:rPr>
      <w:i/>
    </w:rPr>
  </w:style>
  <w:style w:type="paragraph" w:styleId="Caption">
    <w:name w:val="caption"/>
    <w:basedOn w:val="BodyText"/>
    <w:next w:val="Normal"/>
    <w:qFormat/>
    <w:rsid w:val="000D7199"/>
    <w:pPr>
      <w:framePr w:w="2268" w:hSpace="181" w:vSpace="181" w:wrap="around" w:vAnchor="text" w:hAnchor="page" w:x="1135" w:y="285" w:anchorLock="1"/>
    </w:pPr>
    <w:rPr>
      <w:i/>
    </w:rPr>
  </w:style>
  <w:style w:type="paragraph" w:customStyle="1" w:styleId="MiniTOCTitle">
    <w:name w:val="MiniTOCTitle"/>
    <w:basedOn w:val="Heading4"/>
    <w:rsid w:val="000D7199"/>
    <w:pPr>
      <w:spacing w:before="240"/>
      <w:outlineLvl w:val="9"/>
    </w:pPr>
    <w:rPr>
      <w:noProof/>
      <w:sz w:val="24"/>
    </w:rPr>
  </w:style>
  <w:style w:type="paragraph" w:customStyle="1" w:styleId="MiniTOCItem">
    <w:name w:val="MiniTOCItem"/>
    <w:basedOn w:val="ListBullet"/>
    <w:rsid w:val="000D7199"/>
    <w:pPr>
      <w:numPr>
        <w:numId w:val="0"/>
      </w:numPr>
      <w:tabs>
        <w:tab w:val="right" w:leader="dot" w:pos="6521"/>
      </w:tabs>
      <w:spacing w:before="0" w:after="0"/>
    </w:pPr>
  </w:style>
  <w:style w:type="paragraph" w:customStyle="1" w:styleId="TOFTitle">
    <w:name w:val="TOFTitle"/>
    <w:basedOn w:val="TOCTitle"/>
    <w:rsid w:val="000D7199"/>
  </w:style>
  <w:style w:type="paragraph" w:styleId="TableofFigures">
    <w:name w:val="table of figures"/>
    <w:basedOn w:val="Normal"/>
    <w:next w:val="Normal"/>
    <w:semiHidden/>
    <w:rsid w:val="000D7199"/>
    <w:pPr>
      <w:tabs>
        <w:tab w:val="right" w:leader="dot" w:pos="9072"/>
      </w:tabs>
      <w:ind w:left="970" w:hanging="403"/>
    </w:pPr>
    <w:rPr>
      <w:rFonts w:ascii="Times New Roman" w:hAnsi="Times New Roman"/>
      <w:b/>
    </w:rPr>
  </w:style>
  <w:style w:type="paragraph" w:styleId="ListNumber">
    <w:name w:val="List Number"/>
    <w:basedOn w:val="List"/>
    <w:rsid w:val="000D7199"/>
    <w:pPr>
      <w:numPr>
        <w:numId w:val="14"/>
      </w:numPr>
      <w:tabs>
        <w:tab w:val="clear" w:pos="340"/>
      </w:tabs>
    </w:pPr>
  </w:style>
  <w:style w:type="character" w:customStyle="1" w:styleId="WingdingSymbols">
    <w:name w:val="Wingding Symbols"/>
    <w:rsid w:val="000D7199"/>
    <w:rPr>
      <w:rFonts w:ascii="Wingdings" w:hAnsi="Wingdings"/>
    </w:rPr>
  </w:style>
  <w:style w:type="character" w:customStyle="1" w:styleId="HotSpot">
    <w:name w:val="HotSpot"/>
    <w:rsid w:val="000D7199"/>
    <w:rPr>
      <w:color w:val="0033CC"/>
      <w:u w:val="none"/>
    </w:rPr>
  </w:style>
  <w:style w:type="paragraph" w:customStyle="1" w:styleId="BodyTextRight">
    <w:name w:val="Body Text Right"/>
    <w:basedOn w:val="BodyText"/>
    <w:rsid w:val="000D7199"/>
    <w:pPr>
      <w:spacing w:before="0" w:after="0"/>
      <w:jc w:val="right"/>
    </w:pPr>
  </w:style>
  <w:style w:type="paragraph" w:styleId="Index3">
    <w:name w:val="index 3"/>
    <w:basedOn w:val="ListNumber2"/>
    <w:next w:val="Normal"/>
    <w:semiHidden/>
    <w:rsid w:val="000D7199"/>
    <w:pPr>
      <w:numPr>
        <w:numId w:val="0"/>
      </w:numPr>
      <w:tabs>
        <w:tab w:val="right" w:leader="dot" w:pos="4176"/>
      </w:tabs>
    </w:pPr>
  </w:style>
  <w:style w:type="paragraph" w:styleId="ListNumber2">
    <w:name w:val="List Number 2"/>
    <w:basedOn w:val="List2"/>
    <w:rsid w:val="000D7199"/>
    <w:pPr>
      <w:numPr>
        <w:numId w:val="9"/>
      </w:numPr>
      <w:tabs>
        <w:tab w:val="clear" w:pos="1060"/>
      </w:tabs>
    </w:pPr>
  </w:style>
  <w:style w:type="paragraph" w:customStyle="1" w:styleId="MarginNote">
    <w:name w:val="Margin Note"/>
    <w:basedOn w:val="BodyText"/>
    <w:rsid w:val="000D7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199"/>
    <w:rPr>
      <w:sz w:val="32"/>
    </w:rPr>
  </w:style>
  <w:style w:type="paragraph" w:customStyle="1" w:styleId="HeadingProcedure">
    <w:name w:val="Heading Procedure"/>
    <w:basedOn w:val="HeadingBase"/>
    <w:next w:val="Normal"/>
    <w:rsid w:val="000D7199"/>
    <w:pPr>
      <w:tabs>
        <w:tab w:val="left" w:pos="0"/>
      </w:tabs>
      <w:spacing w:before="120" w:after="60"/>
    </w:pPr>
    <w:rPr>
      <w:i/>
      <w:color w:val="918585"/>
      <w:sz w:val="22"/>
    </w:rPr>
  </w:style>
  <w:style w:type="paragraph" w:customStyle="1" w:styleId="TableBodyText">
    <w:name w:val="Table Body Text"/>
    <w:basedOn w:val="BodyText"/>
    <w:rsid w:val="000D7199"/>
    <w:pPr>
      <w:spacing w:before="60" w:after="60"/>
    </w:pPr>
  </w:style>
  <w:style w:type="paragraph" w:styleId="ListContinue">
    <w:name w:val="List Continue"/>
    <w:basedOn w:val="List"/>
    <w:rsid w:val="000D7199"/>
    <w:pPr>
      <w:ind w:firstLine="0"/>
    </w:pPr>
  </w:style>
  <w:style w:type="paragraph" w:customStyle="1" w:styleId="ListNote">
    <w:name w:val="List Note"/>
    <w:basedOn w:val="List"/>
    <w:rsid w:val="000D7199"/>
    <w:pPr>
      <w:pBdr>
        <w:top w:val="single" w:sz="6" w:space="2" w:color="918585"/>
        <w:bottom w:val="single" w:sz="6" w:space="2" w:color="918585"/>
      </w:pBdr>
      <w:tabs>
        <w:tab w:val="left" w:pos="1021"/>
      </w:tabs>
      <w:ind w:firstLine="0"/>
    </w:pPr>
  </w:style>
  <w:style w:type="paragraph" w:customStyle="1" w:styleId="Warning">
    <w:name w:val="Warning"/>
    <w:basedOn w:val="BodyText"/>
    <w:rsid w:val="000D7199"/>
    <w:pPr>
      <w:shd w:val="clear" w:color="auto" w:fill="D9D9D9"/>
      <w:tabs>
        <w:tab w:val="left" w:pos="992"/>
      </w:tabs>
      <w:ind w:left="119" w:right="119"/>
    </w:pPr>
    <w:rPr>
      <w:sz w:val="20"/>
    </w:rPr>
  </w:style>
  <w:style w:type="paragraph" w:customStyle="1" w:styleId="MarginIcons">
    <w:name w:val="Margin Icons"/>
    <w:basedOn w:val="BodyText"/>
    <w:rsid w:val="000D7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199"/>
    <w:rPr>
      <w:rFonts w:ascii="Courier New" w:hAnsi="Courier New"/>
    </w:rPr>
  </w:style>
  <w:style w:type="paragraph" w:customStyle="1" w:styleId="NoteBullet">
    <w:name w:val="Note Bullet"/>
    <w:basedOn w:val="Note"/>
    <w:rsid w:val="000D7199"/>
    <w:pPr>
      <w:tabs>
        <w:tab w:val="clear" w:pos="680"/>
      </w:tabs>
      <w:spacing w:before="60" w:after="60"/>
    </w:pPr>
  </w:style>
  <w:style w:type="paragraph" w:customStyle="1" w:styleId="SubHeading2">
    <w:name w:val="SubHeading2"/>
    <w:basedOn w:val="HeadingBase"/>
    <w:rsid w:val="000D7199"/>
    <w:pPr>
      <w:spacing w:before="240" w:after="60"/>
    </w:pPr>
    <w:rPr>
      <w:sz w:val="20"/>
    </w:rPr>
  </w:style>
  <w:style w:type="paragraph" w:customStyle="1" w:styleId="SubHeading1">
    <w:name w:val="SubHeading1"/>
    <w:basedOn w:val="HeadingBase"/>
    <w:rsid w:val="000D7199"/>
    <w:pPr>
      <w:spacing w:before="240" w:after="60"/>
    </w:pPr>
    <w:rPr>
      <w:color w:val="918585"/>
      <w:sz w:val="22"/>
    </w:rPr>
  </w:style>
  <w:style w:type="paragraph" w:customStyle="1" w:styleId="SideHeading">
    <w:name w:val="Side Heading"/>
    <w:basedOn w:val="HeadingBase"/>
    <w:rsid w:val="000D7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199"/>
    <w:pPr>
      <w:numPr>
        <w:numId w:val="10"/>
      </w:numPr>
    </w:pPr>
  </w:style>
  <w:style w:type="paragraph" w:styleId="PlainText">
    <w:name w:val="Plain Text"/>
    <w:basedOn w:val="Normal"/>
    <w:link w:val="PlainTextChar"/>
    <w:rsid w:val="000D7199"/>
    <w:rPr>
      <w:sz w:val="20"/>
    </w:rPr>
  </w:style>
  <w:style w:type="character" w:customStyle="1" w:styleId="PlainTextChar">
    <w:name w:val="Plain Text Char"/>
    <w:basedOn w:val="DefaultParagraphFont"/>
    <w:link w:val="PlainText"/>
    <w:rsid w:val="000D7199"/>
    <w:rPr>
      <w:rFonts w:ascii="Courier New" w:eastAsia="Times New Roman" w:hAnsi="Courier New" w:cs="Times New Roman"/>
      <w:sz w:val="20"/>
      <w:szCs w:val="20"/>
      <w:lang w:eastAsia="en-US"/>
    </w:rPr>
  </w:style>
  <w:style w:type="character" w:customStyle="1" w:styleId="MenuOption">
    <w:name w:val="Menu Option"/>
    <w:basedOn w:val="DefaultParagraphFont"/>
    <w:rsid w:val="000D7199"/>
    <w:rPr>
      <w:b/>
      <w:smallCaps/>
    </w:rPr>
  </w:style>
  <w:style w:type="paragraph" w:customStyle="1" w:styleId="TableListNumber">
    <w:name w:val="Table List Number"/>
    <w:basedOn w:val="ListNumber"/>
    <w:rsid w:val="000D7199"/>
    <w:pPr>
      <w:numPr>
        <w:numId w:val="0"/>
      </w:numPr>
    </w:pPr>
  </w:style>
  <w:style w:type="paragraph" w:styleId="TOC4">
    <w:name w:val="toc 4"/>
    <w:basedOn w:val="TOCBase"/>
    <w:next w:val="Normal"/>
    <w:semiHidden/>
    <w:rsid w:val="000D7199"/>
    <w:pPr>
      <w:tabs>
        <w:tab w:val="right" w:leader="dot" w:pos="9071"/>
      </w:tabs>
      <w:ind w:left="1701"/>
    </w:pPr>
  </w:style>
  <w:style w:type="paragraph" w:customStyle="1" w:styleId="ListAlpha">
    <w:name w:val="List Alpha"/>
    <w:basedOn w:val="List"/>
    <w:rsid w:val="000D7199"/>
    <w:pPr>
      <w:numPr>
        <w:numId w:val="8"/>
      </w:numPr>
    </w:pPr>
  </w:style>
  <w:style w:type="paragraph" w:customStyle="1" w:styleId="ListAlpha2">
    <w:name w:val="List Alpha 2"/>
    <w:basedOn w:val="List2"/>
    <w:rsid w:val="000D7199"/>
    <w:pPr>
      <w:numPr>
        <w:numId w:val="7"/>
      </w:numPr>
    </w:pPr>
  </w:style>
  <w:style w:type="paragraph" w:styleId="List2">
    <w:name w:val="List 2"/>
    <w:basedOn w:val="BodyText"/>
    <w:rsid w:val="000D7199"/>
    <w:pPr>
      <w:tabs>
        <w:tab w:val="left" w:pos="680"/>
      </w:tabs>
      <w:spacing w:before="60" w:after="60"/>
      <w:ind w:left="680" w:hanging="340"/>
    </w:pPr>
  </w:style>
  <w:style w:type="paragraph" w:styleId="List3">
    <w:name w:val="List 3"/>
    <w:basedOn w:val="BodyText"/>
    <w:rsid w:val="000D7199"/>
    <w:pPr>
      <w:tabs>
        <w:tab w:val="left" w:pos="1021"/>
      </w:tabs>
      <w:spacing w:before="60" w:after="60"/>
      <w:ind w:left="1020" w:hanging="340"/>
    </w:pPr>
  </w:style>
  <w:style w:type="paragraph" w:styleId="List4">
    <w:name w:val="List 4"/>
    <w:basedOn w:val="BodyText"/>
    <w:rsid w:val="000D7199"/>
    <w:pPr>
      <w:tabs>
        <w:tab w:val="left" w:pos="1361"/>
      </w:tabs>
      <w:spacing w:before="60" w:after="60"/>
      <w:ind w:left="1361" w:hanging="340"/>
    </w:pPr>
  </w:style>
  <w:style w:type="paragraph" w:styleId="List5">
    <w:name w:val="List 5"/>
    <w:basedOn w:val="BodyText"/>
    <w:rsid w:val="000D7199"/>
    <w:pPr>
      <w:tabs>
        <w:tab w:val="left" w:pos="1701"/>
      </w:tabs>
      <w:spacing w:before="60" w:after="60"/>
      <w:ind w:left="1701" w:hanging="340"/>
    </w:pPr>
  </w:style>
  <w:style w:type="paragraph" w:styleId="ListBullet3">
    <w:name w:val="List Bullet 3"/>
    <w:basedOn w:val="List3"/>
    <w:rsid w:val="000D7199"/>
    <w:pPr>
      <w:numPr>
        <w:numId w:val="13"/>
      </w:numPr>
      <w:tabs>
        <w:tab w:val="clear" w:pos="1021"/>
      </w:tabs>
      <w:ind w:left="1037" w:hanging="357"/>
    </w:pPr>
  </w:style>
  <w:style w:type="paragraph" w:styleId="ListBullet4">
    <w:name w:val="List Bullet 4"/>
    <w:basedOn w:val="List4"/>
    <w:rsid w:val="000D7199"/>
    <w:pPr>
      <w:numPr>
        <w:numId w:val="2"/>
      </w:numPr>
      <w:tabs>
        <w:tab w:val="clear" w:pos="1361"/>
      </w:tabs>
    </w:pPr>
  </w:style>
  <w:style w:type="paragraph" w:styleId="ListBullet5">
    <w:name w:val="List Bullet 5"/>
    <w:basedOn w:val="List5"/>
    <w:rsid w:val="000D7199"/>
    <w:pPr>
      <w:numPr>
        <w:numId w:val="3"/>
      </w:numPr>
    </w:pPr>
  </w:style>
  <w:style w:type="paragraph" w:styleId="ListContinue2">
    <w:name w:val="List Continue 2"/>
    <w:basedOn w:val="List2"/>
    <w:rsid w:val="000D7199"/>
    <w:pPr>
      <w:ind w:firstLine="0"/>
    </w:pPr>
  </w:style>
  <w:style w:type="paragraph" w:styleId="ListContinue3">
    <w:name w:val="List Continue 3"/>
    <w:basedOn w:val="List3"/>
    <w:rsid w:val="000D7199"/>
    <w:pPr>
      <w:ind w:left="1021" w:firstLine="0"/>
    </w:pPr>
  </w:style>
  <w:style w:type="paragraph" w:styleId="ListContinue4">
    <w:name w:val="List Continue 4"/>
    <w:basedOn w:val="List4"/>
    <w:rsid w:val="000D7199"/>
    <w:pPr>
      <w:ind w:firstLine="0"/>
    </w:pPr>
  </w:style>
  <w:style w:type="paragraph" w:styleId="ListContinue5">
    <w:name w:val="List Continue 5"/>
    <w:basedOn w:val="List5"/>
    <w:rsid w:val="000D7199"/>
    <w:pPr>
      <w:ind w:firstLine="0"/>
    </w:pPr>
  </w:style>
  <w:style w:type="paragraph" w:styleId="ListNumber3">
    <w:name w:val="List Number 3"/>
    <w:basedOn w:val="List3"/>
    <w:rsid w:val="000D7199"/>
    <w:pPr>
      <w:numPr>
        <w:numId w:val="4"/>
      </w:numPr>
    </w:pPr>
  </w:style>
  <w:style w:type="paragraph" w:styleId="ListNumber4">
    <w:name w:val="List Number 4"/>
    <w:basedOn w:val="List4"/>
    <w:rsid w:val="000D7199"/>
    <w:pPr>
      <w:numPr>
        <w:numId w:val="5"/>
      </w:numPr>
    </w:pPr>
  </w:style>
  <w:style w:type="paragraph" w:styleId="ListNumber5">
    <w:name w:val="List Number 5"/>
    <w:basedOn w:val="List5"/>
    <w:rsid w:val="000D7199"/>
    <w:pPr>
      <w:numPr>
        <w:numId w:val="6"/>
      </w:numPr>
    </w:pPr>
  </w:style>
  <w:style w:type="paragraph" w:styleId="BlockText">
    <w:name w:val="Block Text"/>
    <w:basedOn w:val="Normal"/>
    <w:rsid w:val="000D7199"/>
    <w:pPr>
      <w:spacing w:after="120"/>
      <w:ind w:left="1440" w:right="1440"/>
    </w:pPr>
  </w:style>
  <w:style w:type="character" w:customStyle="1" w:styleId="Subscript">
    <w:name w:val="Subscript"/>
    <w:basedOn w:val="DefaultParagraphFont"/>
    <w:rsid w:val="000D7199"/>
    <w:rPr>
      <w:sz w:val="16"/>
      <w:vertAlign w:val="subscript"/>
    </w:rPr>
  </w:style>
  <w:style w:type="character" w:customStyle="1" w:styleId="Superscript">
    <w:name w:val="Superscript"/>
    <w:basedOn w:val="DefaultParagraphFont"/>
    <w:rsid w:val="000D7199"/>
    <w:rPr>
      <w:sz w:val="16"/>
      <w:vertAlign w:val="superscript"/>
    </w:rPr>
  </w:style>
  <w:style w:type="character" w:customStyle="1" w:styleId="Symbols">
    <w:name w:val="Symbols"/>
    <w:basedOn w:val="DefaultParagraphFont"/>
    <w:rsid w:val="000D7199"/>
    <w:rPr>
      <w:rFonts w:ascii="Symbol" w:hAnsi="Symbol"/>
    </w:rPr>
  </w:style>
  <w:style w:type="character" w:customStyle="1" w:styleId="MenuOptions">
    <w:name w:val="Menu Options"/>
    <w:basedOn w:val="DefaultParagraphFont"/>
    <w:rsid w:val="000D7199"/>
    <w:rPr>
      <w:rFonts w:ascii="Arial Narrow" w:hAnsi="Arial Narrow"/>
      <w:smallCaps/>
    </w:rPr>
  </w:style>
  <w:style w:type="character" w:customStyle="1" w:styleId="Buttons">
    <w:name w:val="Buttons"/>
    <w:basedOn w:val="DefaultParagraphFont"/>
    <w:rsid w:val="000D7199"/>
    <w:rPr>
      <w:b/>
    </w:rPr>
  </w:style>
  <w:style w:type="character" w:customStyle="1" w:styleId="Underlined">
    <w:name w:val="Underlined"/>
    <w:basedOn w:val="DefaultParagraphFont"/>
    <w:rsid w:val="000D7199"/>
    <w:rPr>
      <w:u w:val="single"/>
    </w:rPr>
  </w:style>
  <w:style w:type="paragraph" w:customStyle="1" w:styleId="TableBodyTextRight">
    <w:name w:val="Table Body Text Right"/>
    <w:basedOn w:val="TableBodyText"/>
    <w:rsid w:val="000D7199"/>
    <w:pPr>
      <w:widowControl w:val="0"/>
      <w:autoSpaceDE w:val="0"/>
      <w:autoSpaceDN w:val="0"/>
      <w:adjustRightInd w:val="0"/>
      <w:jc w:val="right"/>
    </w:pPr>
    <w:rPr>
      <w:rFonts w:cs="Arial"/>
      <w:szCs w:val="18"/>
    </w:rPr>
  </w:style>
  <w:style w:type="paragraph" w:customStyle="1" w:styleId="CopyrightText">
    <w:name w:val="Copyright Text"/>
    <w:basedOn w:val="BodyText"/>
    <w:rsid w:val="000D7199"/>
    <w:rPr>
      <w:sz w:val="18"/>
    </w:rPr>
  </w:style>
  <w:style w:type="paragraph" w:customStyle="1" w:styleId="BodySmallRight">
    <w:name w:val="Body Small Right"/>
    <w:basedOn w:val="BodyTextRight"/>
    <w:rsid w:val="000D7199"/>
    <w:rPr>
      <w:sz w:val="18"/>
      <w:szCs w:val="18"/>
    </w:rPr>
  </w:style>
  <w:style w:type="paragraph" w:customStyle="1" w:styleId="MarginEdition">
    <w:name w:val="Margin Edition"/>
    <w:basedOn w:val="MarginNote"/>
    <w:rsid w:val="000D7199"/>
    <w:pPr>
      <w:spacing w:before="0" w:after="0"/>
    </w:pPr>
    <w:rPr>
      <w:rFonts w:ascii="Times New Roman" w:hAnsi="Times New Roman"/>
      <w:color w:val="999999"/>
    </w:rPr>
  </w:style>
  <w:style w:type="paragraph" w:customStyle="1" w:styleId="Spacer">
    <w:name w:val="Spacer"/>
    <w:basedOn w:val="Normal"/>
    <w:rsid w:val="000D7199"/>
    <w:rPr>
      <w:sz w:val="2"/>
      <w:szCs w:val="2"/>
    </w:rPr>
  </w:style>
  <w:style w:type="character" w:customStyle="1" w:styleId="Small">
    <w:name w:val="Small"/>
    <w:basedOn w:val="DefaultParagraphFont"/>
    <w:rsid w:val="000D7199"/>
    <w:rPr>
      <w:sz w:val="16"/>
    </w:rPr>
  </w:style>
  <w:style w:type="paragraph" w:customStyle="1" w:styleId="WideTable">
    <w:name w:val="Wide Table"/>
    <w:basedOn w:val="Normal"/>
    <w:rsid w:val="000D7199"/>
    <w:pPr>
      <w:ind w:left="-1418"/>
    </w:pPr>
    <w:rPr>
      <w:sz w:val="2"/>
      <w:szCs w:val="2"/>
    </w:rPr>
  </w:style>
  <w:style w:type="character" w:styleId="PageNumber">
    <w:name w:val="page number"/>
    <w:basedOn w:val="DefaultParagraphFont"/>
    <w:rsid w:val="000D7199"/>
  </w:style>
  <w:style w:type="paragraph" w:styleId="Quote">
    <w:name w:val="Quote"/>
    <w:basedOn w:val="Heading1"/>
    <w:link w:val="QuoteChar"/>
    <w:qFormat/>
    <w:rsid w:val="000D7199"/>
    <w:rPr>
      <w:b w:val="0"/>
      <w:sz w:val="72"/>
      <w:szCs w:val="72"/>
      <w:lang w:val="en-NZ"/>
    </w:rPr>
  </w:style>
  <w:style w:type="character" w:customStyle="1" w:styleId="QuoteChar">
    <w:name w:val="Quote Char"/>
    <w:basedOn w:val="DefaultParagraphFont"/>
    <w:link w:val="Quote"/>
    <w:rsid w:val="000D7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199"/>
    <w:pPr>
      <w:pageBreakBefore/>
    </w:pPr>
  </w:style>
  <w:style w:type="paragraph" w:customStyle="1" w:styleId="Border">
    <w:name w:val="Border"/>
    <w:basedOn w:val="Normal"/>
    <w:qFormat/>
    <w:rsid w:val="000D7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199"/>
    <w:rPr>
      <w:b/>
      <w:bCs/>
      <w:i/>
      <w:iCs/>
      <w:color w:val="auto"/>
    </w:rPr>
  </w:style>
  <w:style w:type="paragraph" w:styleId="IntenseQuote">
    <w:name w:val="Intense Quote"/>
    <w:basedOn w:val="Normal"/>
    <w:next w:val="Normal"/>
    <w:link w:val="IntenseQuoteChar"/>
    <w:uiPriority w:val="30"/>
    <w:qFormat/>
    <w:rsid w:val="000D7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199"/>
    <w:rPr>
      <w:smallCaps/>
      <w:color w:val="auto"/>
      <w:u w:val="single"/>
    </w:rPr>
  </w:style>
  <w:style w:type="character" w:styleId="IntenseReference">
    <w:name w:val="Intense Reference"/>
    <w:basedOn w:val="DefaultParagraphFont"/>
    <w:uiPriority w:val="32"/>
    <w:qFormat/>
    <w:rsid w:val="000D7199"/>
    <w:rPr>
      <w:b/>
      <w:bCs/>
      <w:smallCaps/>
      <w:color w:val="auto"/>
      <w:spacing w:val="5"/>
      <w:u w:val="single"/>
    </w:rPr>
  </w:style>
  <w:style w:type="paragraph" w:customStyle="1" w:styleId="2ColumnHeading">
    <w:name w:val="2Column Heading"/>
    <w:basedOn w:val="BodyText"/>
    <w:qFormat/>
    <w:rsid w:val="000D7199"/>
    <w:pPr>
      <w:spacing w:after="60"/>
      <w:ind w:left="-2268"/>
    </w:pPr>
    <w:rPr>
      <w:b/>
    </w:rPr>
  </w:style>
  <w:style w:type="paragraph" w:customStyle="1" w:styleId="Heading1TOC">
    <w:name w:val="Heading1 TOC"/>
    <w:basedOn w:val="Normal"/>
    <w:qFormat/>
    <w:rsid w:val="000D7199"/>
    <w:pPr>
      <w:spacing w:before="240" w:after="120"/>
    </w:pPr>
    <w:rPr>
      <w:rFonts w:ascii="Times New Roman" w:hAnsi="Times New Roman"/>
      <w:b/>
      <w:sz w:val="32"/>
    </w:rPr>
  </w:style>
  <w:style w:type="paragraph" w:customStyle="1" w:styleId="Heading2TOC">
    <w:name w:val="Heading2 TOC"/>
    <w:basedOn w:val="Normal"/>
    <w:qFormat/>
    <w:rsid w:val="000D7199"/>
    <w:pPr>
      <w:spacing w:before="240" w:after="60"/>
    </w:pPr>
    <w:rPr>
      <w:rFonts w:ascii="Times New Roman" w:hAnsi="Times New Roman"/>
      <w:b/>
      <w:sz w:val="28"/>
    </w:rPr>
  </w:style>
  <w:style w:type="character" w:customStyle="1" w:styleId="Underline">
    <w:name w:val="Underline"/>
    <w:basedOn w:val="DefaultParagraphFont"/>
    <w:qFormat/>
    <w:rsid w:val="000D7199"/>
    <w:rPr>
      <w:u w:val="single"/>
    </w:rPr>
  </w:style>
  <w:style w:type="character" w:customStyle="1" w:styleId="BoldandItalics">
    <w:name w:val="Bold and Italics"/>
    <w:qFormat/>
    <w:rsid w:val="000D7199"/>
    <w:rPr>
      <w:b/>
      <w:i/>
      <w:u w:val="none"/>
    </w:rPr>
  </w:style>
  <w:style w:type="paragraph" w:styleId="BalloonText">
    <w:name w:val="Balloon Text"/>
    <w:basedOn w:val="Normal"/>
    <w:link w:val="BalloonTextChar"/>
    <w:rsid w:val="000D7199"/>
    <w:rPr>
      <w:rFonts w:ascii="Tahoma" w:hAnsi="Tahoma" w:cs="Tahoma"/>
      <w:sz w:val="16"/>
      <w:szCs w:val="16"/>
    </w:rPr>
  </w:style>
  <w:style w:type="character" w:customStyle="1" w:styleId="BalloonTextChar">
    <w:name w:val="Balloon Text Char"/>
    <w:basedOn w:val="DefaultParagraphFont"/>
    <w:link w:val="BalloonText"/>
    <w:rsid w:val="000D7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199"/>
    <w:rPr>
      <w:b/>
      <w:color w:val="660033"/>
      <w:spacing w:val="0"/>
    </w:rPr>
  </w:style>
  <w:style w:type="paragraph" w:customStyle="1" w:styleId="Nameditemlist">
    <w:name w:val="Named item list"/>
    <w:basedOn w:val="BodyText"/>
    <w:qFormat/>
    <w:rsid w:val="000D7199"/>
    <w:pPr>
      <w:tabs>
        <w:tab w:val="left" w:pos="2835"/>
      </w:tabs>
      <w:ind w:left="2835" w:hanging="2835"/>
    </w:pPr>
  </w:style>
  <w:style w:type="paragraph" w:customStyle="1" w:styleId="BodyTextnopadding">
    <w:name w:val="Body Text no padding"/>
    <w:basedOn w:val="BodyText"/>
    <w:qFormat/>
    <w:rsid w:val="000D7199"/>
    <w:pPr>
      <w:spacing w:before="0" w:after="0"/>
    </w:pPr>
  </w:style>
  <w:style w:type="paragraph" w:customStyle="1" w:styleId="BodyTextBold">
    <w:name w:val="Body Text Bold"/>
    <w:basedOn w:val="BodyText"/>
    <w:qFormat/>
    <w:rsid w:val="000D7199"/>
    <w:rPr>
      <w:b/>
    </w:rPr>
  </w:style>
  <w:style w:type="character" w:styleId="Hyperlink">
    <w:name w:val="Hyperlink"/>
    <w:basedOn w:val="DefaultParagraphFont"/>
    <w:uiPriority w:val="99"/>
    <w:unhideWhenUsed/>
    <w:rsid w:val="00F81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6048</Characters>
  <Application>Microsoft Office Word</Application>
  <DocSecurity>0</DocSecurity>
  <Lines>172</Lines>
  <Paragraphs>101</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PSPSEC002 Respond to government security incidents</dc:title>
  <dc:subject>Approved</dc:subject>
  <dc:creator>Public Skills Australia</dc:creator>
  <cp:keywords>Release: 1</cp:keywords>
  <dc:description>Review Date: 12 April 2008</dc:description>
  <cp:lastModifiedBy>HSD_TPCMSd.prod</cp:lastModifiedBy>
  <cp:revision>3</cp:revision>
  <dcterms:created xsi:type="dcterms:W3CDTF">2025-03-01T09:07:00Z</dcterms:created>
  <dcterms:modified xsi:type="dcterms:W3CDTF">2025-03-01T09:07:00Z</dcterms:modified>
</cp:coreProperties>
</file>