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35E" w:rsidP="0034435E">
      <w:pPr>
        <w:pStyle w:val="Title"/>
      </w:pPr>
      <w:r>
        <w:fldChar w:fldCharType="begin"/>
      </w:r>
      <w:r>
        <w:instrText xml:space="preserve"> TITLE   \* MERGEFORMAT </w:instrText>
      </w:r>
      <w:r>
        <w:fldChar w:fldCharType="separate"/>
      </w:r>
      <w:r>
        <w:t>PSPREV008 Determine stamp duties</w:t>
      </w:r>
      <w:r>
        <w:fldChar w:fldCharType="end"/>
      </w:r>
    </w:p>
    <w:p w:rsidR="0034435E" w:rsidP="0034435E">
      <w:pPr>
        <w:pStyle w:val="Version"/>
        <w:sectPr w:rsidSect="00990E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EDC" w:rsidP="00990EDC">
      <w:pPr>
        <w:pStyle w:val="SuperHeading"/>
      </w:pPr>
      <w:r w:rsidRPr="00990EDC">
        <w:t>PSPREV008 Determine stamp duties</w:t>
      </w:r>
    </w:p>
    <w:p w:rsidR="00000000" w:rsidRPr="00990EDC" w:rsidP="00990EDC">
      <w:pPr>
        <w:pStyle w:val="Heading1"/>
      </w:pPr>
      <w:bookmarkStart w:id="1" w:name="O_826406"/>
      <w:bookmarkEnd w:id="1"/>
      <w:r w:rsidRPr="00990EDC">
        <w:t>Modification History</w:t>
      </w:r>
    </w:p>
    <w:tbl>
      <w:tblPr>
        <w:tblW w:w="0" w:type="auto"/>
        <w:tblLayout w:type="fixed"/>
        <w:tblCellMar>
          <w:left w:w="62" w:type="dxa"/>
          <w:right w:w="62" w:type="dxa"/>
        </w:tblCellMar>
        <w:tblLook w:val="0000"/>
      </w:tblPr>
      <w:tblGrid>
        <w:gridCol w:w="1134"/>
        <w:gridCol w:w="7937"/>
      </w:tblGrid>
      <w:tr w:rsidTr="003443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TableHeading"/>
              <w:rPr>
                <w:lang w:val="en-NZ"/>
              </w:rPr>
            </w:pPr>
            <w:r w:rsidRPr="00990E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TableHeading"/>
              <w:rPr>
                <w:lang w:val="en-NZ"/>
              </w:rPr>
            </w:pPr>
            <w:r w:rsidRPr="00990EDC">
              <w:t>Comments</w:t>
            </w:r>
          </w:p>
        </w:tc>
      </w:tr>
      <w:tr w:rsidTr="003443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BodyText"/>
              <w:rPr>
                <w:lang w:val="en-NZ"/>
              </w:rPr>
            </w:pPr>
            <w:r w:rsidRPr="00990E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DC" w:rsidP="00990EDC">
            <w:pPr>
              <w:pStyle w:val="BodyText"/>
            </w:pPr>
            <w:r w:rsidRPr="00990EDC">
              <w:t xml:space="preserve">This unit was released in PSP Public Sector Training Package release 1.0 and meets the Standards for Training Packages. </w:t>
            </w:r>
          </w:p>
          <w:p w:rsidR="00000000" w:rsidRPr="00990EDC" w:rsidP="00990EDC">
            <w:pPr>
              <w:pStyle w:val="BodyText"/>
            </w:pPr>
          </w:p>
          <w:p w:rsidR="00000000" w:rsidRPr="00990EDC" w:rsidP="00990EDC">
            <w:pPr>
              <w:pStyle w:val="BodyText"/>
            </w:pPr>
            <w:r w:rsidRPr="00990EDC">
              <w:t>This unit supersedes and is equivalent to PSPREV408A Determine stamp duties.</w:t>
            </w:r>
          </w:p>
          <w:p w:rsidR="00000000" w:rsidRPr="00990EDC" w:rsidP="00990EDC">
            <w:pPr>
              <w:pStyle w:val="BodyText"/>
            </w:pPr>
          </w:p>
          <w:p w:rsidR="00000000" w:rsidRPr="00990EDC" w:rsidP="00990EDC">
            <w:pPr>
              <w:pStyle w:val="ListBullet"/>
            </w:pPr>
            <w:r w:rsidRPr="00990EDC">
              <w:t>Unit code upda</w:t>
            </w:r>
            <w:r w:rsidRPr="00990EDC">
              <w:t>ted</w:t>
            </w:r>
          </w:p>
          <w:p w:rsidR="00000000" w:rsidRPr="00990EDC" w:rsidP="00990EDC">
            <w:pPr>
              <w:pStyle w:val="ListBullet"/>
            </w:pPr>
            <w:r w:rsidRPr="00990EDC">
              <w:t>Content and formatting updated to comply with new standards</w:t>
            </w:r>
          </w:p>
          <w:p w:rsidR="00000000" w:rsidRPr="00990EDC" w:rsidP="00990EDC">
            <w:pPr>
              <w:pStyle w:val="ListBullet"/>
            </w:pPr>
            <w:r w:rsidRPr="00990EDC">
              <w:t>All PC transitioned from passive to active voice</w:t>
            </w:r>
          </w:p>
        </w:tc>
      </w:tr>
    </w:tbl>
    <w:p w:rsidR="00000000" w:rsidRPr="00990EDC" w:rsidP="00990EDC">
      <w:pPr>
        <w:pStyle w:val="BodyText"/>
      </w:pPr>
    </w:p>
    <w:p w:rsidR="00000000" w:rsidRPr="00990EDC" w:rsidP="00990EDC">
      <w:pPr>
        <w:pStyle w:val="AllowPageBreak"/>
      </w:pPr>
    </w:p>
    <w:p w:rsidR="00000000" w:rsidRPr="00990EDC" w:rsidP="00990EDC">
      <w:pPr>
        <w:pStyle w:val="Heading1"/>
      </w:pPr>
      <w:bookmarkStart w:id="2" w:name="O_826407"/>
      <w:bookmarkEnd w:id="2"/>
      <w:r w:rsidRPr="00990EDC">
        <w:t>Application</w:t>
      </w:r>
    </w:p>
    <w:p w:rsidR="00000000" w:rsidRPr="00990EDC" w:rsidP="0034435E">
      <w:pPr>
        <w:pStyle w:val="BodyText"/>
      </w:pPr>
      <w:r w:rsidRPr="00990EDC">
        <w:t>This unit describes the skills required to determine stamp duties imposed on various documents (‘instruments’</w:t>
      </w:r>
      <w:r w:rsidRPr="00990EDC">
        <w:t>) and transactions. It includes identifying legislative, regulatory and procedural requirements relating to stamp duties, assessing stamp duties and assessing and processing enquiries and complaints.</w:t>
      </w:r>
    </w:p>
    <w:p w:rsidR="00000000" w:rsidRPr="00990EDC" w:rsidP="0034435E">
      <w:pPr>
        <w:pStyle w:val="BodyText"/>
      </w:pPr>
      <w:r w:rsidRPr="00990EDC">
        <w:t>This unit applies to those working in roles where the d</w:t>
      </w:r>
      <w:r w:rsidRPr="00990EDC">
        <w:t>etermination of stamp duty is required.</w:t>
      </w:r>
    </w:p>
    <w:p w:rsidR="00000000" w:rsidRPr="00990EDC" w:rsidP="0034435E">
      <w:pPr>
        <w:pStyle w:val="BodyText"/>
      </w:pPr>
      <w:r w:rsidRPr="00990EDC">
        <w:t>The skills and knowledge described in this unit must be applied within the legislative, regulatory and policy environment in which they are carried out. Organisational policies and procedures must be consulted and a</w:t>
      </w:r>
      <w:r w:rsidRPr="00990EDC">
        <w:t>dhered to.</w:t>
      </w:r>
    </w:p>
    <w:p w:rsidR="00000000" w:rsidRPr="00990EDC" w:rsidP="0034435E">
      <w:pPr>
        <w:pStyle w:val="BodyText"/>
      </w:pPr>
      <w:r w:rsidRPr="00990EDC">
        <w:t>Those undertaking this unit would work independently, performing complex tasks in familiar contexts.</w:t>
      </w:r>
    </w:p>
    <w:p w:rsidR="0034435E" w:rsidP="0034435E">
      <w:pPr>
        <w:pStyle w:val="BodyText"/>
      </w:pPr>
      <w:r w:rsidRPr="00990EDC">
        <w:t>No licensing, legislative or certification requirements apply to unit at the time of publication.</w:t>
      </w:r>
    </w:p>
    <w:p w:rsidR="00000000" w:rsidRPr="00990EDC" w:rsidP="00990EDC">
      <w:pPr>
        <w:pStyle w:val="Heading1"/>
      </w:pPr>
      <w:bookmarkStart w:id="3" w:name="O_826409"/>
      <w:bookmarkEnd w:id="3"/>
      <w:r w:rsidRPr="00990EDC">
        <w:t>Competency Field</w:t>
      </w:r>
    </w:p>
    <w:p w:rsidR="00000000" w:rsidRPr="00990EDC" w:rsidP="0034435E">
      <w:pPr>
        <w:pStyle w:val="BodyText"/>
      </w:pPr>
      <w:r w:rsidRPr="00990EDC">
        <w:t>Revenue administration</w:t>
      </w:r>
    </w:p>
    <w:p w:rsidR="00000000" w:rsidRPr="00990EDC" w:rsidP="00990EDC">
      <w:pPr>
        <w:pStyle w:val="Heading1"/>
      </w:pPr>
      <w:bookmarkStart w:id="4" w:name="O_826411"/>
      <w:bookmarkEnd w:id="4"/>
      <w:r w:rsidRPr="00990EDC">
        <w:t>Elements and Performance Criteria</w:t>
      </w:r>
    </w:p>
    <w:tbl>
      <w:tblPr>
        <w:tblW w:w="0" w:type="auto"/>
        <w:tblLayout w:type="fixed"/>
        <w:tblCellMar>
          <w:left w:w="62" w:type="dxa"/>
          <w:right w:w="62" w:type="dxa"/>
        </w:tblCellMar>
        <w:tblLook w:val="0000"/>
      </w:tblPr>
      <w:tblGrid>
        <w:gridCol w:w="2203"/>
        <w:gridCol w:w="6804"/>
      </w:tblGrid>
      <w:tr w:rsidTr="00990E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TableHeading"/>
              <w:rPr>
                <w:lang w:val="en-NZ"/>
              </w:rPr>
            </w:pPr>
            <w:r w:rsidRPr="00990ED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TableHeading"/>
              <w:rPr>
                <w:lang w:val="en-NZ"/>
              </w:rPr>
            </w:pPr>
            <w:r w:rsidRPr="00990EDC">
              <w:t>PERFORMANCE CRITERIA</w:t>
            </w:r>
          </w:p>
        </w:tc>
      </w:tr>
      <w:tr w:rsidTr="00990E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BodyText"/>
              <w:rPr>
                <w:lang w:val="en-NZ"/>
              </w:rPr>
            </w:pPr>
            <w:r w:rsidRPr="00990ED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BodyText"/>
              <w:rPr>
                <w:lang w:val="en-NZ"/>
              </w:rPr>
            </w:pPr>
            <w:r w:rsidRPr="00990EDC">
              <w:t>Performance criteria describe the performance needed to demonstrate achievement of the element. Where bold ita</w:t>
            </w:r>
            <w:r w:rsidRPr="00990EDC">
              <w:t>licised text is used, further information is detailed in the range of conditions section.</w:t>
            </w:r>
          </w:p>
        </w:tc>
      </w:tr>
      <w:tr w:rsidTr="00990E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List"/>
              <w:rPr>
                <w:lang w:val="en-NZ"/>
              </w:rPr>
            </w:pPr>
            <w:r w:rsidRPr="00990EDC">
              <w:rPr>
                <w:rStyle w:val="SpecialBold"/>
              </w:rPr>
              <w:t>1.</w:t>
            </w:r>
            <w:r w:rsidRPr="00990EDC">
              <w:rPr>
                <w:rStyle w:val="SpecialBold"/>
              </w:rPr>
              <w:tab/>
              <w:t>Identify legislative, regulatory and procedural requirements relating to stamp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DC" w:rsidP="00990EDC">
            <w:pPr>
              <w:pStyle w:val="List"/>
            </w:pPr>
            <w:r w:rsidRPr="00990EDC">
              <w:t>1.1</w:t>
            </w:r>
            <w:r w:rsidRPr="00990EDC">
              <w:tab/>
              <w:t xml:space="preserve">Maintain up-to-date knowledge of the range of legislation, regulations, </w:t>
            </w:r>
            <w:r w:rsidRPr="00990EDC">
              <w:t>rulings, Commissioner’s practices and organisational procedures relating to instruments and transactions that generally attract duties.</w:t>
            </w:r>
          </w:p>
          <w:p w:rsidR="00000000" w:rsidRPr="00990EDC" w:rsidP="00990EDC">
            <w:pPr>
              <w:pStyle w:val="List"/>
            </w:pPr>
            <w:r w:rsidRPr="00990EDC">
              <w:t>1.2</w:t>
            </w:r>
            <w:r w:rsidRPr="00990EDC">
              <w:tab/>
              <w:t>Locate and confirm as current rates and thresholds that apply to calculation of stamp duties, relative to the liabil</w:t>
            </w:r>
            <w:r w:rsidRPr="00990EDC">
              <w:t>ity date.</w:t>
            </w:r>
          </w:p>
          <w:p w:rsidR="00000000" w:rsidRPr="00990EDC" w:rsidP="00990EDC">
            <w:pPr>
              <w:pStyle w:val="List"/>
            </w:pPr>
            <w:r w:rsidRPr="00990EDC">
              <w:t>1.3</w:t>
            </w:r>
            <w:r w:rsidRPr="00990EDC">
              <w:tab/>
              <w:t>Identify and confirm eligibility and liability criteria related to stamp duties to ensure consistency of interpretation and application.</w:t>
            </w:r>
          </w:p>
          <w:p w:rsidR="00000000" w:rsidP="00990EDC">
            <w:pPr>
              <w:pStyle w:val="List"/>
              <w:rPr>
                <w:lang w:val="en-NZ"/>
              </w:rPr>
            </w:pPr>
            <w:r w:rsidRPr="00990EDC">
              <w:t>1.4</w:t>
            </w:r>
            <w:r w:rsidRPr="00990EDC">
              <w:tab/>
              <w:t>Identify and confirm exemptions and concessions related</w:t>
            </w:r>
            <w:r w:rsidRPr="00990EDC">
              <w:t xml:space="preserve"> to instruments, transactions or organisations.</w:t>
            </w:r>
          </w:p>
        </w:tc>
      </w:tr>
      <w:tr w:rsidTr="00990E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List"/>
              <w:rPr>
                <w:lang w:val="en-NZ"/>
              </w:rPr>
            </w:pPr>
            <w:r w:rsidRPr="00990EDC">
              <w:rPr>
                <w:rStyle w:val="SpecialBold"/>
              </w:rPr>
              <w:t>2.</w:t>
            </w:r>
            <w:r w:rsidRPr="00990EDC">
              <w:rPr>
                <w:rStyle w:val="SpecialBold"/>
              </w:rPr>
              <w:tab/>
              <w:t>Assess stamp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DC" w:rsidP="00990EDC">
            <w:pPr>
              <w:pStyle w:val="List"/>
            </w:pPr>
            <w:r w:rsidRPr="00990EDC">
              <w:t>2.1</w:t>
            </w:r>
            <w:r w:rsidRPr="00990EDC">
              <w:tab/>
              <w:t>Identify instruments and transactions liable for duty.</w:t>
            </w:r>
          </w:p>
          <w:p w:rsidR="00000000" w:rsidRPr="00990EDC" w:rsidP="00990EDC">
            <w:pPr>
              <w:pStyle w:val="List"/>
            </w:pPr>
            <w:r w:rsidRPr="00990EDC">
              <w:t>2.2</w:t>
            </w:r>
            <w:r w:rsidRPr="00990EDC">
              <w:tab/>
              <w:t>Identify instruments and transactions exempt from duty or eligible for concessions and explain to customers in accordance</w:t>
            </w:r>
            <w:r w:rsidRPr="00990EDC">
              <w:t xml:space="preserve"> with their requests.</w:t>
            </w:r>
          </w:p>
          <w:p w:rsidR="00000000" w:rsidRPr="00990EDC" w:rsidP="00990EDC">
            <w:pPr>
              <w:pStyle w:val="List"/>
            </w:pPr>
            <w:r w:rsidRPr="00990EDC">
              <w:t>2.3</w:t>
            </w:r>
            <w:r w:rsidRPr="00990EDC">
              <w:tab/>
              <w:t>Implement general principles affecting stamp duties to ensure correct duty is applied.</w:t>
            </w:r>
          </w:p>
          <w:p w:rsidR="00000000" w:rsidRPr="00990EDC" w:rsidP="00990EDC">
            <w:pPr>
              <w:pStyle w:val="List"/>
            </w:pPr>
            <w:r w:rsidRPr="00990EDC">
              <w:t>2.4</w:t>
            </w:r>
            <w:r w:rsidRPr="00990EDC">
              <w:tab/>
              <w:t>Identify parties liable to pay duty and confirm date of liability.</w:t>
            </w:r>
          </w:p>
          <w:p w:rsidR="00000000" w:rsidRPr="00990EDC" w:rsidP="00990EDC">
            <w:pPr>
              <w:pStyle w:val="List"/>
            </w:pPr>
            <w:r w:rsidRPr="00990EDC">
              <w:t>2.5</w:t>
            </w:r>
            <w:r w:rsidRPr="00990EDC">
              <w:tab/>
              <w:t xml:space="preserve">Confirm lodgement and due dates and apply any interest or penalties </w:t>
            </w:r>
            <w:r w:rsidRPr="00990EDC">
              <w:t>incurred for late lodgement or payment.</w:t>
            </w:r>
          </w:p>
          <w:p w:rsidR="00000000" w:rsidP="00990EDC">
            <w:pPr>
              <w:pStyle w:val="List"/>
              <w:rPr>
                <w:lang w:val="en-NZ"/>
              </w:rPr>
            </w:pPr>
            <w:r w:rsidRPr="00990EDC">
              <w:t>2.6</w:t>
            </w:r>
            <w:r w:rsidRPr="00990EDC">
              <w:tab/>
              <w:t>Apply rates of duty, confirm assessment and record decision.</w:t>
            </w:r>
          </w:p>
        </w:tc>
      </w:tr>
      <w:tr w:rsidTr="00990ED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List"/>
              <w:rPr>
                <w:lang w:val="en-NZ"/>
              </w:rPr>
            </w:pPr>
            <w:r w:rsidRPr="00990EDC">
              <w:rPr>
                <w:rStyle w:val="SpecialBold"/>
              </w:rPr>
              <w:t>3.</w:t>
            </w:r>
            <w:r w:rsidRPr="00990EDC">
              <w:rPr>
                <w:rStyle w:val="SpecialBold"/>
              </w:rPr>
              <w:tab/>
              <w:t>Assess and process enquiries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DC" w:rsidP="00990EDC">
            <w:pPr>
              <w:pStyle w:val="List"/>
            </w:pPr>
            <w:r w:rsidRPr="00990EDC">
              <w:t>3.1</w:t>
            </w:r>
            <w:r w:rsidRPr="00990EDC">
              <w:tab/>
              <w:t>Deal with enquiries and complaints by taxpayers, and record decisions and notify.</w:t>
            </w:r>
          </w:p>
          <w:p w:rsidR="00000000" w:rsidRPr="00990EDC" w:rsidP="00990EDC">
            <w:pPr>
              <w:pStyle w:val="List"/>
            </w:pPr>
            <w:r w:rsidRPr="00990EDC">
              <w:t>3.2</w:t>
            </w:r>
            <w:r w:rsidRPr="00990EDC">
              <w:tab/>
              <w:t>Explain to ta</w:t>
            </w:r>
            <w:r w:rsidRPr="00990EDC">
              <w:t>xpayers their rights to have the decision reviewed if they are dissatisfied with the decision.</w:t>
            </w:r>
          </w:p>
        </w:tc>
      </w:tr>
    </w:tbl>
    <w:p w:rsidR="00000000" w:rsidRPr="00990EDC" w:rsidP="00990EDC">
      <w:pPr>
        <w:pStyle w:val="BodyText"/>
      </w:pPr>
    </w:p>
    <w:p w:rsidR="00000000" w:rsidRPr="00990EDC" w:rsidP="00990EDC">
      <w:pPr>
        <w:pStyle w:val="AllowPageBreak"/>
      </w:pPr>
    </w:p>
    <w:p w:rsidR="00000000" w:rsidRPr="00990EDC" w:rsidP="00990EDC">
      <w:pPr>
        <w:pStyle w:val="Heading1"/>
      </w:pPr>
      <w:bookmarkStart w:id="5" w:name="O_826412"/>
      <w:bookmarkEnd w:id="5"/>
      <w:r w:rsidRPr="00990EDC">
        <w:t>Foundation Skills</w:t>
      </w:r>
    </w:p>
    <w:p w:rsidR="00000000" w:rsidRPr="00990EDC" w:rsidP="0034435E">
      <w:pPr>
        <w:pStyle w:val="BodyText"/>
      </w:pPr>
      <w:r w:rsidRPr="00990EDC">
        <w:t xml:space="preserve">Foundation skills are embedded within the elements and performance criteria of this unit. </w:t>
      </w:r>
    </w:p>
    <w:p w:rsidR="00000000" w:rsidRPr="00990EDC" w:rsidP="00990EDC">
      <w:pPr>
        <w:pStyle w:val="Heading1"/>
      </w:pPr>
      <w:bookmarkStart w:id="6" w:name="O_826414"/>
      <w:bookmarkEnd w:id="6"/>
      <w:r w:rsidRPr="00990EDC">
        <w:t>Unit Mapping Inf</w:t>
      </w:r>
      <w:r w:rsidRPr="00990EDC">
        <w:t>ormation</w:t>
      </w:r>
    </w:p>
    <w:p w:rsidR="00000000" w:rsidRPr="00990EDC" w:rsidP="0034435E">
      <w:pPr>
        <w:pStyle w:val="BodyText"/>
      </w:pPr>
      <w:r w:rsidRPr="00990EDC">
        <w:t>This unit supersedes and is equivalent to PSPREV408A Determine stamp duties.</w:t>
      </w:r>
    </w:p>
    <w:p w:rsidR="00000000" w:rsidRPr="00990EDC" w:rsidP="00990EDC">
      <w:pPr>
        <w:pStyle w:val="Heading1"/>
      </w:pPr>
      <w:bookmarkStart w:id="7" w:name="O_826421"/>
      <w:bookmarkEnd w:id="7"/>
      <w:r w:rsidRPr="00990EDC">
        <w:t>Links</w:t>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34435E">
      <w:pPr>
        <w:pStyle w:val="BodyText"/>
        <w:sectPr w:rsidSect="00990EDC">
          <w:headerReference w:type="default" r:id="rId10"/>
          <w:footerReference w:type="default" r:id="rId11"/>
          <w:pgSz w:w="11908" w:h="16833"/>
          <w:pgMar w:top="1702" w:right="1418" w:bottom="1702" w:left="1418" w:header="992" w:footer="992" w:gutter="0"/>
          <w:cols w:space="720"/>
          <w:noEndnote/>
          <w:docGrid w:linePitch="299"/>
        </w:sectPr>
      </w:pPr>
    </w:p>
    <w:p w:rsidR="00000000" w:rsidRPr="00990EDC" w:rsidP="00990EDC">
      <w:pPr>
        <w:pStyle w:val="SuperHeading"/>
      </w:pPr>
      <w:r w:rsidRPr="00990EDC">
        <w:t>Assessment Requirements for</w:t>
      </w:r>
      <w:r w:rsidRPr="00990EDC">
        <w:t xml:space="preserve"> PSPREV008 Determine stamp duties</w:t>
      </w:r>
    </w:p>
    <w:p w:rsidR="00000000" w:rsidRPr="00990EDC" w:rsidP="00990EDC">
      <w:pPr>
        <w:pStyle w:val="Heading1"/>
      </w:pPr>
      <w:bookmarkStart w:id="8" w:name="O_826416"/>
      <w:bookmarkEnd w:id="8"/>
      <w:r w:rsidRPr="00990EDC">
        <w:t>Modification History</w:t>
      </w:r>
    </w:p>
    <w:tbl>
      <w:tblPr>
        <w:tblW w:w="0" w:type="auto"/>
        <w:tblLayout w:type="fixed"/>
        <w:tblCellMar>
          <w:left w:w="62" w:type="dxa"/>
          <w:right w:w="62" w:type="dxa"/>
        </w:tblCellMar>
        <w:tblLook w:val="0000"/>
      </w:tblPr>
      <w:tblGrid>
        <w:gridCol w:w="1134"/>
        <w:gridCol w:w="7937"/>
      </w:tblGrid>
      <w:tr w:rsidTr="003443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TableHeading"/>
              <w:rPr>
                <w:lang w:val="en-NZ"/>
              </w:rPr>
            </w:pPr>
            <w:r w:rsidRPr="00990E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TableHeading"/>
              <w:rPr>
                <w:lang w:val="en-NZ"/>
              </w:rPr>
            </w:pPr>
            <w:r w:rsidRPr="00990EDC">
              <w:t>Comments</w:t>
            </w:r>
          </w:p>
        </w:tc>
      </w:tr>
      <w:tr w:rsidTr="003443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DC">
            <w:pPr>
              <w:pStyle w:val="BodyText"/>
              <w:rPr>
                <w:lang w:val="en-NZ"/>
              </w:rPr>
            </w:pPr>
            <w:r w:rsidRPr="00990E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DC" w:rsidP="00990EDC">
            <w:pPr>
              <w:pStyle w:val="BodyText"/>
            </w:pPr>
            <w:r w:rsidRPr="00990EDC">
              <w:t xml:space="preserve">These Assessment Requirements were released in PSP Public Sector Training Package release 1.0 and meet the Standards for Training Packages. </w:t>
            </w:r>
          </w:p>
          <w:p w:rsidR="00000000" w:rsidRPr="00990EDC" w:rsidP="00990EDC">
            <w:pPr>
              <w:pStyle w:val="BodyText"/>
            </w:pPr>
          </w:p>
          <w:p w:rsidR="00000000" w:rsidRPr="00990EDC" w:rsidP="00990EDC">
            <w:pPr>
              <w:pStyle w:val="ListBullet"/>
            </w:pPr>
            <w:r w:rsidRPr="00990EDC">
              <w:t>Assessment Requirement</w:t>
            </w:r>
            <w:r w:rsidRPr="00990EDC">
              <w:t>s created drawing upon specified assessment information from superseded unit</w:t>
            </w:r>
          </w:p>
        </w:tc>
      </w:tr>
    </w:tbl>
    <w:p w:rsidR="00000000" w:rsidRPr="00990EDC" w:rsidP="00990EDC">
      <w:pPr>
        <w:pStyle w:val="BodyText"/>
      </w:pPr>
    </w:p>
    <w:p w:rsidR="00000000" w:rsidRPr="00990EDC" w:rsidP="00990EDC">
      <w:pPr>
        <w:pStyle w:val="AllowPageBreak"/>
      </w:pPr>
    </w:p>
    <w:p w:rsidR="00000000" w:rsidRPr="00990EDC" w:rsidP="00990EDC">
      <w:pPr>
        <w:pStyle w:val="Heading1"/>
      </w:pPr>
      <w:bookmarkStart w:id="9" w:name="O_826417"/>
      <w:bookmarkEnd w:id="9"/>
      <w:r w:rsidRPr="00990EDC">
        <w:t>Performance Evidence</w:t>
      </w:r>
    </w:p>
    <w:p w:rsidR="00000000" w:rsidRPr="00990EDC" w:rsidP="0034435E">
      <w:pPr>
        <w:pStyle w:val="BodyText"/>
      </w:pPr>
      <w:r w:rsidRPr="00990ED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90EDC" w:rsidP="00990EDC">
      <w:pPr>
        <w:pStyle w:val="ListBullet"/>
      </w:pPr>
      <w:r w:rsidRPr="00990EDC">
        <w:t>interpr</w:t>
      </w:r>
      <w:r w:rsidRPr="00990EDC">
        <w:t>eting complex legislation, judicial decisions, rulings, Commissioner’s practices and related materials and applying them to stamp duty determinations</w:t>
      </w:r>
    </w:p>
    <w:p w:rsidR="00000000" w:rsidRPr="00990EDC" w:rsidP="00990EDC">
      <w:pPr>
        <w:pStyle w:val="ListBullet"/>
      </w:pPr>
      <w:r w:rsidRPr="00990EDC">
        <w:t>researching information related to stamp duties</w:t>
      </w:r>
    </w:p>
    <w:p w:rsidR="00000000" w:rsidRPr="00990EDC" w:rsidP="00990EDC">
      <w:pPr>
        <w:pStyle w:val="ListBullet"/>
      </w:pPr>
      <w:r w:rsidRPr="00990EDC">
        <w:t>interpreting and explaining legal language</w:t>
      </w:r>
    </w:p>
    <w:p w:rsidR="00000000" w:rsidRPr="00990EDC" w:rsidP="00990EDC">
      <w:pPr>
        <w:pStyle w:val="ListBullet"/>
      </w:pPr>
      <w:r w:rsidRPr="00990EDC">
        <w:t>confirming accuracy of duties applied to various instruments and transactions</w:t>
      </w:r>
    </w:p>
    <w:p w:rsidR="00000000" w:rsidRPr="00990EDC" w:rsidP="00990EDC">
      <w:pPr>
        <w:pStyle w:val="ListBullet"/>
      </w:pPr>
      <w:r w:rsidRPr="00990EDC">
        <w:t>communicating with others involving exchanges of complex information relating to stamp duties</w:t>
      </w:r>
    </w:p>
    <w:p w:rsidR="00000000" w:rsidRPr="00990EDC" w:rsidP="00990EDC">
      <w:pPr>
        <w:pStyle w:val="ListBullet"/>
      </w:pPr>
      <w:r w:rsidRPr="00990EDC">
        <w:t xml:space="preserve">using technology to conduct research, make enquiries, review available data, access </w:t>
      </w:r>
      <w:r w:rsidRPr="00990EDC">
        <w:t>legislative requirements and record outcomes</w:t>
      </w:r>
    </w:p>
    <w:p w:rsidR="00000000" w:rsidRPr="00990EDC" w:rsidP="00990EDC">
      <w:pPr>
        <w:pStyle w:val="ListBullet"/>
      </w:pPr>
      <w:r w:rsidRPr="00990EDC">
        <w:t>applying environmental and work health and safety procedures to administrative work and when dealing with customers</w:t>
      </w:r>
    </w:p>
    <w:p w:rsidR="00000000" w:rsidRPr="00990EDC" w:rsidP="00990EDC">
      <w:pPr>
        <w:pStyle w:val="AllowPageBreak"/>
      </w:pPr>
    </w:p>
    <w:p w:rsidR="00000000" w:rsidRPr="00990EDC" w:rsidP="00990EDC">
      <w:pPr>
        <w:pStyle w:val="Heading1"/>
      </w:pPr>
      <w:bookmarkStart w:id="10" w:name="O_826418"/>
      <w:bookmarkEnd w:id="10"/>
      <w:r w:rsidRPr="00990EDC">
        <w:t>Knowledge Evidence</w:t>
      </w:r>
    </w:p>
    <w:p w:rsidR="00000000" w:rsidRPr="00990EDC" w:rsidP="0034435E">
      <w:pPr>
        <w:pStyle w:val="BodyText"/>
      </w:pPr>
      <w:r w:rsidRPr="00990EDC">
        <w:t>Evidence required to demonstrate competence must satisfy al</w:t>
      </w:r>
      <w:r w:rsidRPr="00990EDC">
        <w:t>l of the requirements of the elements and performance criteria. If not otherwise specified the depth of knowledge demonstrated must be appropriate to the job context of the candidate.</w:t>
      </w:r>
    </w:p>
    <w:p w:rsidR="00000000" w:rsidRPr="00990EDC" w:rsidP="00990EDC">
      <w:pPr>
        <w:pStyle w:val="ListBullet"/>
      </w:pPr>
      <w:r w:rsidRPr="00990EDC">
        <w:t>range of legislation, regulations, rulings and Commissioner’s practices</w:t>
      </w:r>
      <w:r w:rsidRPr="00990EDC">
        <w:t xml:space="preserve"> relating to stamp duty requirements</w:t>
      </w:r>
    </w:p>
    <w:p w:rsidR="00000000" w:rsidRPr="00990EDC" w:rsidP="00990EDC">
      <w:pPr>
        <w:pStyle w:val="ListBullet"/>
      </w:pPr>
      <w:r w:rsidRPr="00990EDC">
        <w:t>general principles from legislation that assist in ascertaining nature of instruments and transactions and how the stamp duty regime is to be applied</w:t>
      </w:r>
    </w:p>
    <w:p w:rsidR="00000000" w:rsidRPr="00990EDC" w:rsidP="00990EDC">
      <w:pPr>
        <w:pStyle w:val="ListBullet"/>
      </w:pPr>
      <w:r w:rsidRPr="00990EDC">
        <w:t>legislative changes and why they occur</w:t>
      </w:r>
    </w:p>
    <w:p w:rsidR="00000000" w:rsidRPr="00990EDC" w:rsidP="00990EDC">
      <w:pPr>
        <w:pStyle w:val="ListBullet"/>
      </w:pPr>
      <w:r w:rsidRPr="00990EDC">
        <w:t>legislative decision-making pr</w:t>
      </w:r>
      <w:r w:rsidRPr="00990EDC">
        <w:t>ocess</w:t>
      </w:r>
    </w:p>
    <w:p w:rsidR="00000000" w:rsidRPr="00990EDC" w:rsidP="00990EDC">
      <w:pPr>
        <w:pStyle w:val="ListBullet"/>
      </w:pPr>
      <w:r w:rsidRPr="00990EDC">
        <w:t>confidentiality provisions</w:t>
      </w:r>
    </w:p>
    <w:p w:rsidR="00000000" w:rsidRPr="00990EDC" w:rsidP="00990EDC">
      <w:pPr>
        <w:pStyle w:val="AllowPageBreak"/>
      </w:pPr>
    </w:p>
    <w:p w:rsidR="00000000" w:rsidRPr="00990EDC" w:rsidP="00990EDC">
      <w:pPr>
        <w:pStyle w:val="Heading1"/>
      </w:pPr>
      <w:bookmarkStart w:id="11" w:name="O_826419"/>
      <w:bookmarkEnd w:id="11"/>
      <w:r w:rsidRPr="00990EDC">
        <w:t>Assessment Conditions</w:t>
      </w:r>
    </w:p>
    <w:p w:rsidR="00000000" w:rsidRPr="00990EDC" w:rsidP="0034435E">
      <w:pPr>
        <w:pStyle w:val="BodyText"/>
      </w:pPr>
      <w:r w:rsidRPr="00990EDC">
        <w:t xml:space="preserve">This unit contains no specific industry-mandated assessment conditions. Guidance on suggested and recommended conditions and methods can be found in the Implementation Guide. </w:t>
      </w:r>
    </w:p>
    <w:p w:rsidR="0034435E" w:rsidP="0034435E">
      <w:pPr>
        <w:pStyle w:val="BodyText"/>
      </w:pPr>
      <w:r w:rsidRPr="00990EDC">
        <w:t>Assesso</w:t>
      </w:r>
      <w:r w:rsidRPr="00990EDC">
        <w:t>rs must satisfy the NVR/AQTF mandatory competency requirements for assessors.</w:t>
      </w:r>
    </w:p>
    <w:p w:rsidR="00000000" w:rsidRPr="00990EDC" w:rsidP="00990EDC">
      <w:pPr>
        <w:pStyle w:val="Heading1"/>
      </w:pPr>
      <w:bookmarkStart w:id="12" w:name="O_826422"/>
      <w:bookmarkEnd w:id="12"/>
      <w:r w:rsidRPr="00990EDC">
        <w:t>Links</w:t>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34435E">
      <w:pPr>
        <w:pStyle w:val="BodyText"/>
      </w:pPr>
      <w:r w:rsidRPr="00990E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B1F19">
        <w:rPr>
          <w:rStyle w:val="Hyperlink"/>
        </w:rPr>
        <w:t>https://vetnet.gov.au/Pages/TrainingDocs.aspx?q=bebbece7-ff48-4d2c-8876-405679019623</w:t>
      </w:r>
      <w:r>
        <w:fldChar w:fldCharType="end"/>
      </w:r>
    </w:p>
    <w:p w:rsidR="00000000" w:rsidRPr="00990EDC" w:rsidP="00990EDC"/>
    <w:sectPr w:rsidSect="00990E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rsidRPr="0034435E" w:rsidP="00344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5E" w:rsidP="00990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35E" w:rsidP="00990E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4435E" w:rsidP="00990E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rsidP="00990EDC">
    <w:pPr>
      <w:pStyle w:val="Footer"/>
      <w:framePr w:wrap="around"/>
    </w:pPr>
    <w:r>
      <w:fldChar w:fldCharType="begin"/>
    </w:r>
    <w:r>
      <w:instrText xml:space="preserve"> DOCPROPERTY  Subject  \* MERGEFORMAT </w:instrText>
    </w:r>
    <w:r>
      <w:fldChar w:fldCharType="separate"/>
    </w:r>
    <w:r w:rsidR="0034435E">
      <w:t>Approved</w:t>
    </w:r>
    <w:r w:rsidR="0034435E">
      <w:fldChar w:fldCharType="end"/>
    </w:r>
    <w:r>
      <w:tab/>
      <w:t xml:space="preserve">Page </w:t>
    </w:r>
    <w:r>
      <w:fldChar w:fldCharType="begin"/>
    </w:r>
    <w:r>
      <w:instrText xml:space="preserve"> PAGE  \* Arabic  \* MERGEFORMAT </w:instrText>
    </w:r>
    <w:r>
      <w:fldChar w:fldCharType="separate"/>
    </w:r>
    <w:r w:rsidR="003443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35E">
      <w:rPr>
        <w:noProof/>
      </w:rPr>
      <w:t>4</w:t>
    </w:r>
    <w:r>
      <w:rPr>
        <w:noProof/>
      </w:rPr>
      <w:fldChar w:fldCharType="end"/>
    </w:r>
  </w:p>
  <w:p w:rsidR="00990EDC" w:rsidP="00990EDC">
    <w:pPr>
      <w:pStyle w:val="Footer"/>
      <w:framePr w:wrap="around"/>
    </w:pPr>
    <w:r>
      <w:t xml:space="preserve">© Commonwealth of Australia, </w:t>
    </w:r>
    <w:r>
      <w:fldChar w:fldCharType="begin"/>
    </w:r>
    <w:r>
      <w:instrText xml:space="preserve"> DATE  \@ "yyyy"  \* MERGEFORMAT </w:instrText>
    </w:r>
    <w:r>
      <w:fldChar w:fldCharType="separate"/>
    </w:r>
    <w:r w:rsidR="0034435E">
      <w:rPr>
        <w:noProof/>
      </w:rPr>
      <w:t>2025</w:t>
    </w:r>
    <w:r>
      <w:fldChar w:fldCharType="end"/>
    </w:r>
    <w:r>
      <w:tab/>
    </w:r>
    <w:r>
      <w:fldChar w:fldCharType="begin"/>
    </w:r>
    <w:r>
      <w:instrText xml:space="preserve"> DOCPROPERTY  Author  \* MERGEFORMAT </w:instrText>
    </w:r>
    <w:r>
      <w:fldChar w:fldCharType="separate"/>
    </w:r>
    <w:r w:rsidR="0034435E">
      <w:t>Public Skills Australia</w:t>
    </w:r>
    <w:r w:rsidR="0034435E">
      <w:fldChar w:fldCharType="end"/>
    </w:r>
  </w:p>
  <w:p w:rsidR="00990EDC" w:rsidP="00990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EDC" w:rsidRPr="0034435E" w:rsidP="00344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5E" w:rsidRPr="002D2AF8" w:rsidP="00990EDC">
    <w:pPr>
      <w:pStyle w:val="Header"/>
      <w:framePr w:wrap="around"/>
    </w:pPr>
    <w:r>
      <w:fldChar w:fldCharType="begin"/>
    </w:r>
    <w:r>
      <w:instrText xml:space="preserve"> TITLE   \* MERGEFORMAT </w:instrText>
    </w:r>
    <w:r>
      <w:fldChar w:fldCharType="separate"/>
    </w:r>
    <w:r>
      <w:t>PSPREV008 Determine stamp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35E" w:rsidP="00990E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C" w:rsidRPr="002D2AF8" w:rsidP="00990EDC">
    <w:pPr>
      <w:pStyle w:val="Header"/>
      <w:framePr w:wrap="around"/>
    </w:pPr>
    <w:r>
      <w:fldChar w:fldCharType="begin"/>
    </w:r>
    <w:r>
      <w:instrText xml:space="preserve"> TITLE   \* MERGEFORMAT </w:instrText>
    </w:r>
    <w:r>
      <w:fldChar w:fldCharType="separate"/>
    </w:r>
    <w:r w:rsidR="0034435E">
      <w:t>PSPREV008 Determine stamp duties</w:t>
    </w:r>
    <w:r w:rsidR="0034435E">
      <w:fldChar w:fldCharType="end"/>
    </w:r>
    <w:r>
      <w:tab/>
      <w:t xml:space="preserve">Date this document was generated: </w:t>
    </w:r>
    <w:r>
      <w:fldChar w:fldCharType="begin"/>
    </w:r>
    <w:r>
      <w:instrText xml:space="preserve"> CREATEDATE  \@ "d MMMM yyyy"  \* MERGEFORMAT </w:instrText>
    </w:r>
    <w:r>
      <w:fldChar w:fldCharType="separate"/>
    </w:r>
    <w:r w:rsidR="0034435E">
      <w:rPr>
        <w:noProof/>
      </w:rPr>
      <w:t>2 March 2025</w:t>
    </w:r>
    <w:r>
      <w:fldChar w:fldCharType="end"/>
    </w:r>
  </w:p>
  <w:p w:rsidR="00990EDC" w:rsidP="00990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02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8E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EDC"/>
    <w:pPr>
      <w:spacing w:before="360" w:after="60"/>
      <w:outlineLvl w:val="0"/>
    </w:pPr>
    <w:rPr>
      <w:sz w:val="32"/>
    </w:rPr>
  </w:style>
  <w:style w:type="paragraph" w:styleId="Heading2">
    <w:name w:val="heading 2"/>
    <w:basedOn w:val="HeadingBase"/>
    <w:next w:val="BodyText"/>
    <w:link w:val="Heading2Char"/>
    <w:qFormat/>
    <w:rsid w:val="00990EDC"/>
    <w:pPr>
      <w:keepLines/>
      <w:spacing w:before="240" w:after="120"/>
      <w:outlineLvl w:val="1"/>
    </w:pPr>
    <w:rPr>
      <w:sz w:val="28"/>
      <w:szCs w:val="40"/>
    </w:rPr>
  </w:style>
  <w:style w:type="paragraph" w:styleId="Heading3">
    <w:name w:val="heading 3"/>
    <w:basedOn w:val="HeadingBase"/>
    <w:next w:val="BodyText"/>
    <w:link w:val="Heading3Char"/>
    <w:qFormat/>
    <w:rsid w:val="00990EDC"/>
    <w:pPr>
      <w:spacing w:before="180" w:after="120"/>
      <w:outlineLvl w:val="2"/>
    </w:pPr>
    <w:rPr>
      <w:spacing w:val="-10"/>
      <w:kern w:val="32"/>
    </w:rPr>
  </w:style>
  <w:style w:type="paragraph" w:styleId="Heading4">
    <w:name w:val="heading 4"/>
    <w:basedOn w:val="HeadingBase"/>
    <w:next w:val="BodyText"/>
    <w:link w:val="Heading4Char"/>
    <w:qFormat/>
    <w:rsid w:val="00990EDC"/>
    <w:pPr>
      <w:spacing w:before="160" w:after="120"/>
      <w:outlineLvl w:val="3"/>
    </w:pPr>
    <w:rPr>
      <w:sz w:val="22"/>
    </w:rPr>
  </w:style>
  <w:style w:type="paragraph" w:styleId="Heading5">
    <w:name w:val="heading 5"/>
    <w:basedOn w:val="HeadingBase"/>
    <w:next w:val="Normal"/>
    <w:link w:val="Heading5Char"/>
    <w:qFormat/>
    <w:rsid w:val="00990EDC"/>
    <w:pPr>
      <w:spacing w:before="80"/>
      <w:outlineLvl w:val="4"/>
    </w:pPr>
    <w:rPr>
      <w:color w:val="918585"/>
      <w:sz w:val="20"/>
    </w:rPr>
  </w:style>
  <w:style w:type="paragraph" w:styleId="Heading6">
    <w:name w:val="heading 6"/>
    <w:basedOn w:val="HeadingBase"/>
    <w:next w:val="Normal"/>
    <w:link w:val="Heading6Char"/>
    <w:qFormat/>
    <w:rsid w:val="00990EDC"/>
    <w:pPr>
      <w:spacing w:before="60"/>
      <w:outlineLvl w:val="5"/>
    </w:pPr>
    <w:rPr>
      <w:color w:val="918585"/>
      <w:sz w:val="20"/>
    </w:rPr>
  </w:style>
  <w:style w:type="paragraph" w:styleId="Heading7">
    <w:name w:val="heading 7"/>
    <w:basedOn w:val="Normal"/>
    <w:next w:val="Normal"/>
    <w:link w:val="Heading7Char"/>
    <w:qFormat/>
    <w:rsid w:val="00990EDC"/>
    <w:pPr>
      <w:ind w:left="720"/>
      <w:outlineLvl w:val="6"/>
    </w:pPr>
    <w:rPr>
      <w:i/>
    </w:rPr>
  </w:style>
  <w:style w:type="paragraph" w:styleId="Heading8">
    <w:name w:val="heading 8"/>
    <w:basedOn w:val="Normal"/>
    <w:next w:val="Normal"/>
    <w:link w:val="Heading8Char"/>
    <w:qFormat/>
    <w:rsid w:val="00990EDC"/>
    <w:pPr>
      <w:ind w:left="720"/>
      <w:outlineLvl w:val="7"/>
    </w:pPr>
    <w:rPr>
      <w:i/>
    </w:rPr>
  </w:style>
  <w:style w:type="paragraph" w:styleId="Heading9">
    <w:name w:val="heading 9"/>
    <w:basedOn w:val="Normal"/>
    <w:next w:val="Normal"/>
    <w:link w:val="Heading9Char"/>
    <w:qFormat/>
    <w:rsid w:val="00990EDC"/>
    <w:pPr>
      <w:ind w:left="720"/>
      <w:outlineLvl w:val="8"/>
    </w:pPr>
    <w:rPr>
      <w:i/>
    </w:rPr>
  </w:style>
  <w:style w:type="character" w:default="1" w:styleId="DefaultParagraphFont">
    <w:name w:val="Default Paragraph Font"/>
    <w:uiPriority w:val="1"/>
    <w:unhideWhenUsed/>
    <w:rsid w:val="00990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EDC"/>
  </w:style>
  <w:style w:type="character" w:customStyle="1" w:styleId="Heading1Char">
    <w:name w:val="Heading 1 Char"/>
    <w:basedOn w:val="DefaultParagraphFont"/>
    <w:link w:val="Heading1"/>
    <w:rsid w:val="00990EDC"/>
    <w:rPr>
      <w:rFonts w:ascii="Times New Roman" w:eastAsia="Times New Roman" w:hAnsi="Times New Roman" w:cs="Times New Roman"/>
      <w:b/>
      <w:sz w:val="32"/>
      <w:szCs w:val="20"/>
      <w:lang w:eastAsia="en-US"/>
    </w:rPr>
  </w:style>
  <w:style w:type="paragraph" w:styleId="BodyText">
    <w:name w:val="Body Text"/>
    <w:basedOn w:val="Normal"/>
    <w:link w:val="BodyTextChar"/>
    <w:rsid w:val="00990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EDC"/>
    <w:rPr>
      <w:rFonts w:ascii="Times New Roman" w:eastAsia="Times New Roman" w:hAnsi="Times New Roman" w:cs="Times New Roman"/>
      <w:sz w:val="24"/>
      <w:lang w:eastAsia="en-US"/>
    </w:rPr>
  </w:style>
  <w:style w:type="paragraph" w:styleId="List">
    <w:name w:val="List"/>
    <w:basedOn w:val="BodyText"/>
    <w:next w:val="BodyText"/>
    <w:rsid w:val="00990EDC"/>
    <w:pPr>
      <w:tabs>
        <w:tab w:val="left" w:pos="340"/>
      </w:tabs>
      <w:spacing w:before="60" w:after="60"/>
      <w:ind w:left="340" w:hanging="340"/>
    </w:pPr>
  </w:style>
  <w:style w:type="paragraph" w:styleId="ListBullet">
    <w:name w:val="List Bullet"/>
    <w:basedOn w:val="List"/>
    <w:rsid w:val="00990EDC"/>
    <w:pPr>
      <w:numPr>
        <w:numId w:val="11"/>
      </w:numPr>
      <w:tabs>
        <w:tab w:val="clear" w:pos="340"/>
      </w:tabs>
      <w:spacing w:before="40" w:after="40"/>
    </w:pPr>
  </w:style>
  <w:style w:type="character" w:customStyle="1" w:styleId="SpecialBold">
    <w:name w:val="Special Bold"/>
    <w:basedOn w:val="DefaultParagraphFont"/>
    <w:rsid w:val="00990EDC"/>
    <w:rPr>
      <w:b/>
      <w:spacing w:val="0"/>
    </w:rPr>
  </w:style>
  <w:style w:type="paragraph" w:customStyle="1" w:styleId="SuperHeading">
    <w:name w:val="SuperHeading"/>
    <w:basedOn w:val="Normal"/>
    <w:rsid w:val="00990EDC"/>
    <w:pPr>
      <w:spacing w:before="240" w:after="120"/>
      <w:outlineLvl w:val="0"/>
    </w:pPr>
    <w:rPr>
      <w:rFonts w:ascii="Times New Roman" w:hAnsi="Times New Roman"/>
      <w:b/>
      <w:sz w:val="32"/>
    </w:rPr>
  </w:style>
  <w:style w:type="paragraph" w:customStyle="1" w:styleId="TableHeading">
    <w:name w:val="Table Heading"/>
    <w:basedOn w:val="HeadingBase"/>
    <w:rsid w:val="00990EDC"/>
    <w:pPr>
      <w:keepLines/>
      <w:pBdr>
        <w:bottom w:val="single" w:sz="6" w:space="1" w:color="918585"/>
      </w:pBdr>
      <w:spacing w:before="240"/>
    </w:pPr>
  </w:style>
  <w:style w:type="paragraph" w:customStyle="1" w:styleId="AllowPageBreak">
    <w:name w:val="AllowPageBreak"/>
    <w:rsid w:val="00990E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EDC"/>
    <w:rPr>
      <w:rFonts w:ascii="Courier New" w:eastAsia="Times New Roman" w:hAnsi="Courier New" w:cs="Times New Roman"/>
      <w:i/>
      <w:szCs w:val="20"/>
      <w:lang w:eastAsia="en-US"/>
    </w:rPr>
  </w:style>
  <w:style w:type="paragraph" w:customStyle="1" w:styleId="HeadingBase">
    <w:name w:val="Heading Base"/>
    <w:rsid w:val="00990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EDC"/>
    <w:pPr>
      <w:tabs>
        <w:tab w:val="right" w:leader="dot" w:pos="9072"/>
      </w:tabs>
      <w:ind w:left="567"/>
    </w:pPr>
    <w:rPr>
      <w:szCs w:val="22"/>
    </w:rPr>
  </w:style>
  <w:style w:type="paragraph" w:customStyle="1" w:styleId="TOCBase">
    <w:name w:val="TOC Base"/>
    <w:rsid w:val="00990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EDC"/>
    <w:pPr>
      <w:tabs>
        <w:tab w:val="right" w:leader="dot" w:pos="9072"/>
      </w:tabs>
      <w:spacing w:before="40" w:after="40"/>
      <w:ind w:left="284"/>
    </w:pPr>
    <w:rPr>
      <w:rFonts w:ascii="Times New Roman" w:hAnsi="Times New Roman"/>
    </w:rPr>
  </w:style>
  <w:style w:type="paragraph" w:styleId="TOC1">
    <w:name w:val="toc 1"/>
    <w:basedOn w:val="TOCBase"/>
    <w:next w:val="Normal"/>
    <w:rsid w:val="00990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EDC"/>
    <w:rPr>
      <w:rFonts w:ascii="Times New Roman" w:eastAsia="Times New Roman" w:hAnsi="Times New Roman" w:cs="Times New Roman"/>
      <w:sz w:val="16"/>
      <w:lang w:eastAsia="en-US"/>
    </w:rPr>
  </w:style>
  <w:style w:type="paragraph" w:styleId="Title">
    <w:name w:val="Title"/>
    <w:basedOn w:val="HeadingBase"/>
    <w:link w:val="TitleChar"/>
    <w:qFormat/>
    <w:rsid w:val="00990EDC"/>
    <w:pPr>
      <w:spacing w:before="5040"/>
      <w:jc w:val="center"/>
    </w:pPr>
    <w:rPr>
      <w:sz w:val="48"/>
      <w:szCs w:val="72"/>
      <w:lang w:val="en-US"/>
    </w:rPr>
  </w:style>
  <w:style w:type="character" w:customStyle="1" w:styleId="TitleChar">
    <w:name w:val="Title Char"/>
    <w:basedOn w:val="DefaultParagraphFont"/>
    <w:link w:val="Title"/>
    <w:rsid w:val="00990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EDC"/>
    <w:pPr>
      <w:tabs>
        <w:tab w:val="left" w:pos="3600"/>
        <w:tab w:val="left" w:pos="3958"/>
      </w:tabs>
    </w:pPr>
  </w:style>
  <w:style w:type="paragraph" w:customStyle="1" w:styleId="Note">
    <w:name w:val="Note"/>
    <w:basedOn w:val="BodyText"/>
    <w:rsid w:val="00990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EDC"/>
    <w:pPr>
      <w:framePr w:wrap="auto" w:hAnchor="text" w:y="6049"/>
    </w:pPr>
    <w:rPr>
      <w:color w:val="000000"/>
      <w:sz w:val="40"/>
    </w:rPr>
  </w:style>
  <w:style w:type="paragraph" w:customStyle="1" w:styleId="TOCTitle">
    <w:name w:val="TOCTitle"/>
    <w:basedOn w:val="Heading1"/>
    <w:rsid w:val="00990EDC"/>
    <w:pPr>
      <w:spacing w:after="240"/>
      <w:jc w:val="center"/>
      <w:outlineLvl w:val="9"/>
    </w:pPr>
    <w:rPr>
      <w:caps/>
    </w:rPr>
  </w:style>
  <w:style w:type="paragraph" w:customStyle="1" w:styleId="Version">
    <w:name w:val="Version"/>
    <w:rsid w:val="00990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EDC"/>
    <w:pPr>
      <w:numPr>
        <w:numId w:val="12"/>
      </w:numPr>
      <w:tabs>
        <w:tab w:val="clear" w:pos="680"/>
      </w:tabs>
    </w:pPr>
  </w:style>
  <w:style w:type="paragraph" w:styleId="Index1">
    <w:name w:val="index 1"/>
    <w:basedOn w:val="Normal"/>
    <w:next w:val="Normal"/>
    <w:semiHidden/>
    <w:rsid w:val="00990EDC"/>
    <w:pPr>
      <w:keepNext w:val="0"/>
      <w:tabs>
        <w:tab w:val="right" w:pos="4176"/>
      </w:tabs>
      <w:ind w:left="198" w:hanging="198"/>
    </w:pPr>
    <w:rPr>
      <w:rFonts w:ascii="Garamond" w:hAnsi="Garamond"/>
    </w:rPr>
  </w:style>
  <w:style w:type="paragraph" w:styleId="IndexHeading">
    <w:name w:val="index heading"/>
    <w:basedOn w:val="Normal"/>
    <w:next w:val="Index1"/>
    <w:semiHidden/>
    <w:rsid w:val="00990EDC"/>
    <w:pPr>
      <w:spacing w:before="120" w:after="120"/>
    </w:pPr>
    <w:rPr>
      <w:rFonts w:ascii="Arial" w:hAnsi="Arial"/>
      <w:b/>
      <w:color w:val="918585"/>
      <w:sz w:val="24"/>
    </w:rPr>
  </w:style>
  <w:style w:type="paragraph" w:styleId="Header">
    <w:name w:val="header"/>
    <w:basedOn w:val="Normal"/>
    <w:link w:val="HeaderChar"/>
    <w:rsid w:val="00990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EDC"/>
    <w:rPr>
      <w:rFonts w:ascii="Times New Roman" w:eastAsia="Times New Roman" w:hAnsi="Times New Roman" w:cs="Times New Roman"/>
      <w:sz w:val="16"/>
      <w:szCs w:val="20"/>
      <w:lang w:val="en-GB" w:eastAsia="en-US"/>
    </w:rPr>
  </w:style>
  <w:style w:type="paragraph" w:customStyle="1" w:styleId="Chapter">
    <w:name w:val="Chapter"/>
    <w:basedOn w:val="Normal"/>
    <w:rsid w:val="00990EDC"/>
    <w:pPr>
      <w:spacing w:before="240"/>
    </w:pPr>
    <w:rPr>
      <w:rFonts w:ascii="Times New Roman" w:hAnsi="Times New Roman"/>
      <w:smallCaps/>
      <w:spacing w:val="80"/>
      <w:sz w:val="28"/>
    </w:rPr>
  </w:style>
  <w:style w:type="paragraph" w:customStyle="1" w:styleId="InChapter">
    <w:name w:val="InChapter"/>
    <w:basedOn w:val="Heading3"/>
    <w:rsid w:val="00990EDC"/>
    <w:pPr>
      <w:spacing w:after="240"/>
      <w:outlineLvl w:val="9"/>
    </w:pPr>
    <w:rPr>
      <w:noProof/>
    </w:rPr>
  </w:style>
  <w:style w:type="paragraph" w:styleId="Index2">
    <w:name w:val="index 2"/>
    <w:basedOn w:val="Normal"/>
    <w:next w:val="Normal"/>
    <w:semiHidden/>
    <w:rsid w:val="00990EDC"/>
    <w:pPr>
      <w:tabs>
        <w:tab w:val="right" w:pos="4176"/>
      </w:tabs>
      <w:ind w:left="568" w:hanging="284"/>
    </w:pPr>
    <w:rPr>
      <w:rFonts w:ascii="Garamond" w:hAnsi="Garamond"/>
    </w:rPr>
  </w:style>
  <w:style w:type="paragraph" w:customStyle="1" w:styleId="Byline">
    <w:name w:val="Byline"/>
    <w:rsid w:val="00990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EDC"/>
    <w:pPr>
      <w:tabs>
        <w:tab w:val="clear" w:pos="3600"/>
        <w:tab w:val="clear" w:pos="3958"/>
      </w:tabs>
      <w:jc w:val="right"/>
    </w:pPr>
  </w:style>
  <w:style w:type="character" w:styleId="Emphasis">
    <w:name w:val="Emphasis"/>
    <w:basedOn w:val="DefaultParagraphFont"/>
    <w:qFormat/>
    <w:rsid w:val="00990EDC"/>
    <w:rPr>
      <w:i/>
    </w:rPr>
  </w:style>
  <w:style w:type="paragraph" w:styleId="Caption">
    <w:name w:val="caption"/>
    <w:basedOn w:val="BodyText"/>
    <w:next w:val="Normal"/>
    <w:qFormat/>
    <w:rsid w:val="00990EDC"/>
    <w:pPr>
      <w:framePr w:w="2268" w:hSpace="181" w:vSpace="181" w:wrap="around" w:vAnchor="text" w:hAnchor="page" w:x="1135" w:y="285" w:anchorLock="1"/>
    </w:pPr>
    <w:rPr>
      <w:i/>
    </w:rPr>
  </w:style>
  <w:style w:type="paragraph" w:customStyle="1" w:styleId="MiniTOCTitle">
    <w:name w:val="MiniTOCTitle"/>
    <w:basedOn w:val="Heading4"/>
    <w:rsid w:val="00990EDC"/>
    <w:pPr>
      <w:spacing w:before="240"/>
      <w:outlineLvl w:val="9"/>
    </w:pPr>
    <w:rPr>
      <w:noProof/>
      <w:sz w:val="24"/>
    </w:rPr>
  </w:style>
  <w:style w:type="paragraph" w:customStyle="1" w:styleId="MiniTOCItem">
    <w:name w:val="MiniTOCItem"/>
    <w:basedOn w:val="ListBullet"/>
    <w:rsid w:val="00990EDC"/>
    <w:pPr>
      <w:numPr>
        <w:numId w:val="0"/>
      </w:numPr>
      <w:tabs>
        <w:tab w:val="right" w:leader="dot" w:pos="6521"/>
      </w:tabs>
      <w:spacing w:before="0" w:after="0"/>
    </w:pPr>
  </w:style>
  <w:style w:type="paragraph" w:customStyle="1" w:styleId="TOFTitle">
    <w:name w:val="TOFTitle"/>
    <w:basedOn w:val="TOCTitle"/>
    <w:rsid w:val="00990EDC"/>
  </w:style>
  <w:style w:type="paragraph" w:styleId="TableofFigures">
    <w:name w:val="table of figures"/>
    <w:basedOn w:val="Normal"/>
    <w:next w:val="Normal"/>
    <w:semiHidden/>
    <w:rsid w:val="00990EDC"/>
    <w:pPr>
      <w:tabs>
        <w:tab w:val="right" w:leader="dot" w:pos="9072"/>
      </w:tabs>
      <w:ind w:left="970" w:hanging="403"/>
    </w:pPr>
    <w:rPr>
      <w:rFonts w:ascii="Times New Roman" w:hAnsi="Times New Roman"/>
      <w:b/>
    </w:rPr>
  </w:style>
  <w:style w:type="paragraph" w:styleId="ListNumber">
    <w:name w:val="List Number"/>
    <w:basedOn w:val="List"/>
    <w:rsid w:val="00990EDC"/>
    <w:pPr>
      <w:numPr>
        <w:numId w:val="14"/>
      </w:numPr>
      <w:tabs>
        <w:tab w:val="clear" w:pos="340"/>
      </w:tabs>
    </w:pPr>
  </w:style>
  <w:style w:type="character" w:customStyle="1" w:styleId="WingdingSymbols">
    <w:name w:val="Wingding Symbols"/>
    <w:rsid w:val="00990EDC"/>
    <w:rPr>
      <w:rFonts w:ascii="Wingdings" w:hAnsi="Wingdings"/>
    </w:rPr>
  </w:style>
  <w:style w:type="character" w:customStyle="1" w:styleId="HotSpot">
    <w:name w:val="HotSpot"/>
    <w:rsid w:val="00990EDC"/>
    <w:rPr>
      <w:color w:val="0033CC"/>
      <w:u w:val="none"/>
    </w:rPr>
  </w:style>
  <w:style w:type="paragraph" w:customStyle="1" w:styleId="BodyTextRight">
    <w:name w:val="Body Text Right"/>
    <w:basedOn w:val="BodyText"/>
    <w:rsid w:val="00990EDC"/>
    <w:pPr>
      <w:spacing w:before="0" w:after="0"/>
      <w:jc w:val="right"/>
    </w:pPr>
  </w:style>
  <w:style w:type="paragraph" w:styleId="Index3">
    <w:name w:val="index 3"/>
    <w:basedOn w:val="ListNumber2"/>
    <w:next w:val="Normal"/>
    <w:semiHidden/>
    <w:rsid w:val="00990EDC"/>
    <w:pPr>
      <w:numPr>
        <w:numId w:val="0"/>
      </w:numPr>
      <w:tabs>
        <w:tab w:val="right" w:leader="dot" w:pos="4176"/>
      </w:tabs>
    </w:pPr>
  </w:style>
  <w:style w:type="paragraph" w:styleId="ListNumber2">
    <w:name w:val="List Number 2"/>
    <w:basedOn w:val="List2"/>
    <w:rsid w:val="00990EDC"/>
    <w:pPr>
      <w:numPr>
        <w:numId w:val="9"/>
      </w:numPr>
      <w:tabs>
        <w:tab w:val="clear" w:pos="1060"/>
      </w:tabs>
    </w:pPr>
  </w:style>
  <w:style w:type="paragraph" w:customStyle="1" w:styleId="MarginNote">
    <w:name w:val="Margin Note"/>
    <w:basedOn w:val="BodyText"/>
    <w:rsid w:val="00990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EDC"/>
    <w:rPr>
      <w:sz w:val="32"/>
    </w:rPr>
  </w:style>
  <w:style w:type="paragraph" w:customStyle="1" w:styleId="HeadingProcedure">
    <w:name w:val="Heading Procedure"/>
    <w:basedOn w:val="HeadingBase"/>
    <w:next w:val="Normal"/>
    <w:rsid w:val="00990EDC"/>
    <w:pPr>
      <w:tabs>
        <w:tab w:val="left" w:pos="0"/>
      </w:tabs>
      <w:spacing w:before="120" w:after="60"/>
    </w:pPr>
    <w:rPr>
      <w:i/>
      <w:color w:val="918585"/>
      <w:sz w:val="22"/>
    </w:rPr>
  </w:style>
  <w:style w:type="paragraph" w:customStyle="1" w:styleId="TableBodyText">
    <w:name w:val="Table Body Text"/>
    <w:basedOn w:val="BodyText"/>
    <w:rsid w:val="00990EDC"/>
    <w:pPr>
      <w:spacing w:before="60" w:after="60"/>
    </w:pPr>
  </w:style>
  <w:style w:type="paragraph" w:styleId="ListContinue">
    <w:name w:val="List Continue"/>
    <w:basedOn w:val="List"/>
    <w:rsid w:val="00990EDC"/>
    <w:pPr>
      <w:ind w:firstLine="0"/>
    </w:pPr>
  </w:style>
  <w:style w:type="paragraph" w:customStyle="1" w:styleId="ListNote">
    <w:name w:val="List Note"/>
    <w:basedOn w:val="List"/>
    <w:rsid w:val="00990EDC"/>
    <w:pPr>
      <w:pBdr>
        <w:top w:val="single" w:sz="6" w:space="2" w:color="918585"/>
        <w:bottom w:val="single" w:sz="6" w:space="2" w:color="918585"/>
      </w:pBdr>
      <w:tabs>
        <w:tab w:val="left" w:pos="1021"/>
      </w:tabs>
      <w:ind w:firstLine="0"/>
    </w:pPr>
  </w:style>
  <w:style w:type="paragraph" w:customStyle="1" w:styleId="Warning">
    <w:name w:val="Warning"/>
    <w:basedOn w:val="BodyText"/>
    <w:rsid w:val="00990EDC"/>
    <w:pPr>
      <w:shd w:val="clear" w:color="auto" w:fill="D9D9D9"/>
      <w:tabs>
        <w:tab w:val="left" w:pos="992"/>
      </w:tabs>
      <w:ind w:left="119" w:right="119"/>
    </w:pPr>
    <w:rPr>
      <w:sz w:val="20"/>
    </w:rPr>
  </w:style>
  <w:style w:type="paragraph" w:customStyle="1" w:styleId="MarginIcons">
    <w:name w:val="Margin Icons"/>
    <w:basedOn w:val="BodyText"/>
    <w:rsid w:val="00990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EDC"/>
    <w:rPr>
      <w:rFonts w:ascii="Courier New" w:hAnsi="Courier New"/>
    </w:rPr>
  </w:style>
  <w:style w:type="paragraph" w:customStyle="1" w:styleId="NoteBullet">
    <w:name w:val="Note Bullet"/>
    <w:basedOn w:val="Note"/>
    <w:rsid w:val="00990EDC"/>
    <w:pPr>
      <w:tabs>
        <w:tab w:val="clear" w:pos="680"/>
      </w:tabs>
      <w:spacing w:before="60" w:after="60"/>
    </w:pPr>
  </w:style>
  <w:style w:type="paragraph" w:customStyle="1" w:styleId="SubHeading2">
    <w:name w:val="SubHeading2"/>
    <w:basedOn w:val="HeadingBase"/>
    <w:rsid w:val="00990EDC"/>
    <w:pPr>
      <w:spacing w:before="240" w:after="60"/>
    </w:pPr>
    <w:rPr>
      <w:sz w:val="20"/>
    </w:rPr>
  </w:style>
  <w:style w:type="paragraph" w:customStyle="1" w:styleId="SubHeading1">
    <w:name w:val="SubHeading1"/>
    <w:basedOn w:val="HeadingBase"/>
    <w:rsid w:val="00990EDC"/>
    <w:pPr>
      <w:spacing w:before="240" w:after="60"/>
    </w:pPr>
    <w:rPr>
      <w:color w:val="918585"/>
      <w:sz w:val="22"/>
    </w:rPr>
  </w:style>
  <w:style w:type="paragraph" w:customStyle="1" w:styleId="SideHeading">
    <w:name w:val="Side Heading"/>
    <w:basedOn w:val="HeadingBase"/>
    <w:rsid w:val="00990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EDC"/>
    <w:pPr>
      <w:numPr>
        <w:numId w:val="10"/>
      </w:numPr>
    </w:pPr>
  </w:style>
  <w:style w:type="paragraph" w:styleId="PlainText">
    <w:name w:val="Plain Text"/>
    <w:basedOn w:val="Normal"/>
    <w:link w:val="PlainTextChar"/>
    <w:rsid w:val="00990EDC"/>
    <w:rPr>
      <w:sz w:val="20"/>
    </w:rPr>
  </w:style>
  <w:style w:type="character" w:customStyle="1" w:styleId="PlainTextChar">
    <w:name w:val="Plain Text Char"/>
    <w:basedOn w:val="DefaultParagraphFont"/>
    <w:link w:val="PlainText"/>
    <w:rsid w:val="00990EDC"/>
    <w:rPr>
      <w:rFonts w:ascii="Courier New" w:eastAsia="Times New Roman" w:hAnsi="Courier New" w:cs="Times New Roman"/>
      <w:sz w:val="20"/>
      <w:szCs w:val="20"/>
      <w:lang w:eastAsia="en-US"/>
    </w:rPr>
  </w:style>
  <w:style w:type="character" w:customStyle="1" w:styleId="MenuOption">
    <w:name w:val="Menu Option"/>
    <w:basedOn w:val="DefaultParagraphFont"/>
    <w:rsid w:val="00990EDC"/>
    <w:rPr>
      <w:b/>
      <w:smallCaps/>
    </w:rPr>
  </w:style>
  <w:style w:type="paragraph" w:customStyle="1" w:styleId="TableListNumber">
    <w:name w:val="Table List Number"/>
    <w:basedOn w:val="ListNumber"/>
    <w:rsid w:val="00990EDC"/>
    <w:pPr>
      <w:numPr>
        <w:numId w:val="0"/>
      </w:numPr>
    </w:pPr>
  </w:style>
  <w:style w:type="paragraph" w:styleId="TOC4">
    <w:name w:val="toc 4"/>
    <w:basedOn w:val="TOCBase"/>
    <w:next w:val="Normal"/>
    <w:semiHidden/>
    <w:rsid w:val="00990EDC"/>
    <w:pPr>
      <w:tabs>
        <w:tab w:val="right" w:leader="dot" w:pos="9071"/>
      </w:tabs>
      <w:ind w:left="1701"/>
    </w:pPr>
  </w:style>
  <w:style w:type="paragraph" w:customStyle="1" w:styleId="ListAlpha">
    <w:name w:val="List Alpha"/>
    <w:basedOn w:val="List"/>
    <w:rsid w:val="00990EDC"/>
    <w:pPr>
      <w:numPr>
        <w:numId w:val="8"/>
      </w:numPr>
    </w:pPr>
  </w:style>
  <w:style w:type="paragraph" w:customStyle="1" w:styleId="ListAlpha2">
    <w:name w:val="List Alpha 2"/>
    <w:basedOn w:val="List2"/>
    <w:rsid w:val="00990EDC"/>
    <w:pPr>
      <w:numPr>
        <w:numId w:val="7"/>
      </w:numPr>
    </w:pPr>
  </w:style>
  <w:style w:type="paragraph" w:styleId="List2">
    <w:name w:val="List 2"/>
    <w:basedOn w:val="BodyText"/>
    <w:rsid w:val="00990EDC"/>
    <w:pPr>
      <w:tabs>
        <w:tab w:val="left" w:pos="680"/>
      </w:tabs>
      <w:spacing w:before="60" w:after="60"/>
      <w:ind w:left="680" w:hanging="340"/>
    </w:pPr>
  </w:style>
  <w:style w:type="paragraph" w:styleId="List3">
    <w:name w:val="List 3"/>
    <w:basedOn w:val="BodyText"/>
    <w:rsid w:val="00990EDC"/>
    <w:pPr>
      <w:tabs>
        <w:tab w:val="left" w:pos="1021"/>
      </w:tabs>
      <w:spacing w:before="60" w:after="60"/>
      <w:ind w:left="1020" w:hanging="340"/>
    </w:pPr>
  </w:style>
  <w:style w:type="paragraph" w:styleId="List4">
    <w:name w:val="List 4"/>
    <w:basedOn w:val="BodyText"/>
    <w:rsid w:val="00990EDC"/>
    <w:pPr>
      <w:tabs>
        <w:tab w:val="left" w:pos="1361"/>
      </w:tabs>
      <w:spacing w:before="60" w:after="60"/>
      <w:ind w:left="1361" w:hanging="340"/>
    </w:pPr>
  </w:style>
  <w:style w:type="paragraph" w:styleId="List5">
    <w:name w:val="List 5"/>
    <w:basedOn w:val="BodyText"/>
    <w:rsid w:val="00990EDC"/>
    <w:pPr>
      <w:tabs>
        <w:tab w:val="left" w:pos="1701"/>
      </w:tabs>
      <w:spacing w:before="60" w:after="60"/>
      <w:ind w:left="1701" w:hanging="340"/>
    </w:pPr>
  </w:style>
  <w:style w:type="paragraph" w:styleId="ListBullet3">
    <w:name w:val="List Bullet 3"/>
    <w:basedOn w:val="List3"/>
    <w:rsid w:val="00990EDC"/>
    <w:pPr>
      <w:numPr>
        <w:numId w:val="13"/>
      </w:numPr>
      <w:tabs>
        <w:tab w:val="clear" w:pos="1021"/>
      </w:tabs>
      <w:ind w:left="1037" w:hanging="357"/>
    </w:pPr>
  </w:style>
  <w:style w:type="paragraph" w:styleId="ListBullet4">
    <w:name w:val="List Bullet 4"/>
    <w:basedOn w:val="List4"/>
    <w:rsid w:val="00990EDC"/>
    <w:pPr>
      <w:numPr>
        <w:numId w:val="2"/>
      </w:numPr>
      <w:tabs>
        <w:tab w:val="clear" w:pos="1361"/>
      </w:tabs>
    </w:pPr>
  </w:style>
  <w:style w:type="paragraph" w:styleId="ListBullet5">
    <w:name w:val="List Bullet 5"/>
    <w:basedOn w:val="List5"/>
    <w:rsid w:val="00990EDC"/>
    <w:pPr>
      <w:numPr>
        <w:numId w:val="3"/>
      </w:numPr>
    </w:pPr>
  </w:style>
  <w:style w:type="paragraph" w:styleId="ListContinue2">
    <w:name w:val="List Continue 2"/>
    <w:basedOn w:val="List2"/>
    <w:rsid w:val="00990EDC"/>
    <w:pPr>
      <w:ind w:firstLine="0"/>
    </w:pPr>
  </w:style>
  <w:style w:type="paragraph" w:styleId="ListContinue3">
    <w:name w:val="List Continue 3"/>
    <w:basedOn w:val="List3"/>
    <w:rsid w:val="00990EDC"/>
    <w:pPr>
      <w:ind w:left="1021" w:firstLine="0"/>
    </w:pPr>
  </w:style>
  <w:style w:type="paragraph" w:styleId="ListContinue4">
    <w:name w:val="List Continue 4"/>
    <w:basedOn w:val="List4"/>
    <w:rsid w:val="00990EDC"/>
    <w:pPr>
      <w:ind w:firstLine="0"/>
    </w:pPr>
  </w:style>
  <w:style w:type="paragraph" w:styleId="ListContinue5">
    <w:name w:val="List Continue 5"/>
    <w:basedOn w:val="List5"/>
    <w:rsid w:val="00990EDC"/>
    <w:pPr>
      <w:ind w:firstLine="0"/>
    </w:pPr>
  </w:style>
  <w:style w:type="paragraph" w:styleId="ListNumber3">
    <w:name w:val="List Number 3"/>
    <w:basedOn w:val="List3"/>
    <w:rsid w:val="00990EDC"/>
    <w:pPr>
      <w:numPr>
        <w:numId w:val="4"/>
      </w:numPr>
    </w:pPr>
  </w:style>
  <w:style w:type="paragraph" w:styleId="ListNumber4">
    <w:name w:val="List Number 4"/>
    <w:basedOn w:val="List4"/>
    <w:rsid w:val="00990EDC"/>
    <w:pPr>
      <w:numPr>
        <w:numId w:val="5"/>
      </w:numPr>
    </w:pPr>
  </w:style>
  <w:style w:type="paragraph" w:styleId="ListNumber5">
    <w:name w:val="List Number 5"/>
    <w:basedOn w:val="List5"/>
    <w:rsid w:val="00990EDC"/>
    <w:pPr>
      <w:numPr>
        <w:numId w:val="6"/>
      </w:numPr>
    </w:pPr>
  </w:style>
  <w:style w:type="paragraph" w:styleId="BlockText">
    <w:name w:val="Block Text"/>
    <w:basedOn w:val="Normal"/>
    <w:rsid w:val="00990EDC"/>
    <w:pPr>
      <w:spacing w:after="120"/>
      <w:ind w:left="1440" w:right="1440"/>
    </w:pPr>
  </w:style>
  <w:style w:type="character" w:customStyle="1" w:styleId="Subscript">
    <w:name w:val="Subscript"/>
    <w:basedOn w:val="DefaultParagraphFont"/>
    <w:rsid w:val="00990EDC"/>
    <w:rPr>
      <w:sz w:val="16"/>
      <w:vertAlign w:val="subscript"/>
    </w:rPr>
  </w:style>
  <w:style w:type="character" w:customStyle="1" w:styleId="Superscript">
    <w:name w:val="Superscript"/>
    <w:basedOn w:val="DefaultParagraphFont"/>
    <w:rsid w:val="00990EDC"/>
    <w:rPr>
      <w:sz w:val="16"/>
      <w:vertAlign w:val="superscript"/>
    </w:rPr>
  </w:style>
  <w:style w:type="character" w:customStyle="1" w:styleId="Symbols">
    <w:name w:val="Symbols"/>
    <w:basedOn w:val="DefaultParagraphFont"/>
    <w:rsid w:val="00990EDC"/>
    <w:rPr>
      <w:rFonts w:ascii="Symbol" w:hAnsi="Symbol"/>
    </w:rPr>
  </w:style>
  <w:style w:type="character" w:customStyle="1" w:styleId="MenuOptions">
    <w:name w:val="Menu Options"/>
    <w:basedOn w:val="DefaultParagraphFont"/>
    <w:rsid w:val="00990EDC"/>
    <w:rPr>
      <w:rFonts w:ascii="Arial Narrow" w:hAnsi="Arial Narrow"/>
      <w:smallCaps/>
    </w:rPr>
  </w:style>
  <w:style w:type="character" w:customStyle="1" w:styleId="Buttons">
    <w:name w:val="Buttons"/>
    <w:basedOn w:val="DefaultParagraphFont"/>
    <w:rsid w:val="00990EDC"/>
    <w:rPr>
      <w:b/>
    </w:rPr>
  </w:style>
  <w:style w:type="character" w:customStyle="1" w:styleId="Underlined">
    <w:name w:val="Underlined"/>
    <w:basedOn w:val="DefaultParagraphFont"/>
    <w:rsid w:val="00990EDC"/>
    <w:rPr>
      <w:u w:val="single"/>
    </w:rPr>
  </w:style>
  <w:style w:type="paragraph" w:customStyle="1" w:styleId="TableBodyTextRight">
    <w:name w:val="Table Body Text Right"/>
    <w:basedOn w:val="TableBodyText"/>
    <w:rsid w:val="00990EDC"/>
    <w:pPr>
      <w:widowControl w:val="0"/>
      <w:autoSpaceDE w:val="0"/>
      <w:autoSpaceDN w:val="0"/>
      <w:adjustRightInd w:val="0"/>
      <w:jc w:val="right"/>
    </w:pPr>
    <w:rPr>
      <w:rFonts w:cs="Arial"/>
      <w:szCs w:val="18"/>
    </w:rPr>
  </w:style>
  <w:style w:type="paragraph" w:customStyle="1" w:styleId="CopyrightText">
    <w:name w:val="Copyright Text"/>
    <w:basedOn w:val="BodyText"/>
    <w:rsid w:val="00990EDC"/>
    <w:rPr>
      <w:sz w:val="18"/>
    </w:rPr>
  </w:style>
  <w:style w:type="paragraph" w:customStyle="1" w:styleId="BodySmallRight">
    <w:name w:val="Body Small Right"/>
    <w:basedOn w:val="BodyTextRight"/>
    <w:rsid w:val="00990EDC"/>
    <w:rPr>
      <w:sz w:val="18"/>
      <w:szCs w:val="18"/>
    </w:rPr>
  </w:style>
  <w:style w:type="paragraph" w:customStyle="1" w:styleId="MarginEdition">
    <w:name w:val="Margin Edition"/>
    <w:basedOn w:val="MarginNote"/>
    <w:rsid w:val="00990EDC"/>
    <w:pPr>
      <w:spacing w:before="0" w:after="0"/>
    </w:pPr>
    <w:rPr>
      <w:rFonts w:ascii="Times New Roman" w:hAnsi="Times New Roman"/>
      <w:color w:val="999999"/>
    </w:rPr>
  </w:style>
  <w:style w:type="paragraph" w:customStyle="1" w:styleId="Spacer">
    <w:name w:val="Spacer"/>
    <w:basedOn w:val="Normal"/>
    <w:rsid w:val="00990EDC"/>
    <w:rPr>
      <w:sz w:val="2"/>
      <w:szCs w:val="2"/>
    </w:rPr>
  </w:style>
  <w:style w:type="character" w:customStyle="1" w:styleId="Small">
    <w:name w:val="Small"/>
    <w:basedOn w:val="DefaultParagraphFont"/>
    <w:rsid w:val="00990EDC"/>
    <w:rPr>
      <w:sz w:val="16"/>
    </w:rPr>
  </w:style>
  <w:style w:type="paragraph" w:customStyle="1" w:styleId="WideTable">
    <w:name w:val="Wide Table"/>
    <w:basedOn w:val="Normal"/>
    <w:rsid w:val="00990EDC"/>
    <w:pPr>
      <w:ind w:left="-1418"/>
    </w:pPr>
    <w:rPr>
      <w:sz w:val="2"/>
      <w:szCs w:val="2"/>
    </w:rPr>
  </w:style>
  <w:style w:type="character" w:styleId="PageNumber">
    <w:name w:val="page number"/>
    <w:basedOn w:val="DefaultParagraphFont"/>
    <w:rsid w:val="00990EDC"/>
  </w:style>
  <w:style w:type="paragraph" w:styleId="Quote">
    <w:name w:val="Quote"/>
    <w:basedOn w:val="Heading1"/>
    <w:link w:val="QuoteChar"/>
    <w:qFormat/>
    <w:rsid w:val="00990EDC"/>
    <w:rPr>
      <w:b w:val="0"/>
      <w:sz w:val="72"/>
      <w:szCs w:val="72"/>
      <w:lang w:val="en-NZ"/>
    </w:rPr>
  </w:style>
  <w:style w:type="character" w:customStyle="1" w:styleId="QuoteChar">
    <w:name w:val="Quote Char"/>
    <w:basedOn w:val="DefaultParagraphFont"/>
    <w:link w:val="Quote"/>
    <w:rsid w:val="00990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EDC"/>
    <w:pPr>
      <w:pageBreakBefore/>
    </w:pPr>
  </w:style>
  <w:style w:type="paragraph" w:customStyle="1" w:styleId="Border">
    <w:name w:val="Border"/>
    <w:basedOn w:val="Normal"/>
    <w:qFormat/>
    <w:rsid w:val="00990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EDC"/>
    <w:rPr>
      <w:b/>
      <w:bCs/>
      <w:i/>
      <w:iCs/>
      <w:color w:val="auto"/>
    </w:rPr>
  </w:style>
  <w:style w:type="paragraph" w:styleId="IntenseQuote">
    <w:name w:val="Intense Quote"/>
    <w:basedOn w:val="Normal"/>
    <w:next w:val="Normal"/>
    <w:link w:val="IntenseQuoteChar"/>
    <w:uiPriority w:val="30"/>
    <w:qFormat/>
    <w:rsid w:val="00990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EDC"/>
    <w:rPr>
      <w:smallCaps/>
      <w:color w:val="auto"/>
      <w:u w:val="single"/>
    </w:rPr>
  </w:style>
  <w:style w:type="character" w:styleId="IntenseReference">
    <w:name w:val="Intense Reference"/>
    <w:basedOn w:val="DefaultParagraphFont"/>
    <w:uiPriority w:val="32"/>
    <w:qFormat/>
    <w:rsid w:val="00990EDC"/>
    <w:rPr>
      <w:b/>
      <w:bCs/>
      <w:smallCaps/>
      <w:color w:val="auto"/>
      <w:spacing w:val="5"/>
      <w:u w:val="single"/>
    </w:rPr>
  </w:style>
  <w:style w:type="paragraph" w:customStyle="1" w:styleId="2ColumnHeading">
    <w:name w:val="2Column Heading"/>
    <w:basedOn w:val="BodyText"/>
    <w:qFormat/>
    <w:rsid w:val="00990EDC"/>
    <w:pPr>
      <w:spacing w:after="60"/>
      <w:ind w:left="-2268"/>
    </w:pPr>
    <w:rPr>
      <w:b/>
    </w:rPr>
  </w:style>
  <w:style w:type="paragraph" w:customStyle="1" w:styleId="Heading1TOC">
    <w:name w:val="Heading1 TOC"/>
    <w:basedOn w:val="Normal"/>
    <w:qFormat/>
    <w:rsid w:val="00990EDC"/>
    <w:pPr>
      <w:spacing w:before="240" w:after="120"/>
    </w:pPr>
    <w:rPr>
      <w:rFonts w:ascii="Times New Roman" w:hAnsi="Times New Roman"/>
      <w:b/>
      <w:sz w:val="32"/>
    </w:rPr>
  </w:style>
  <w:style w:type="paragraph" w:customStyle="1" w:styleId="Heading2TOC">
    <w:name w:val="Heading2 TOC"/>
    <w:basedOn w:val="Normal"/>
    <w:qFormat/>
    <w:rsid w:val="00990EDC"/>
    <w:pPr>
      <w:spacing w:before="240" w:after="60"/>
    </w:pPr>
    <w:rPr>
      <w:rFonts w:ascii="Times New Roman" w:hAnsi="Times New Roman"/>
      <w:b/>
      <w:sz w:val="28"/>
    </w:rPr>
  </w:style>
  <w:style w:type="character" w:customStyle="1" w:styleId="Underline">
    <w:name w:val="Underline"/>
    <w:basedOn w:val="DefaultParagraphFont"/>
    <w:qFormat/>
    <w:rsid w:val="00990EDC"/>
    <w:rPr>
      <w:u w:val="single"/>
    </w:rPr>
  </w:style>
  <w:style w:type="character" w:customStyle="1" w:styleId="BoldandItalics">
    <w:name w:val="Bold and Italics"/>
    <w:qFormat/>
    <w:rsid w:val="00990EDC"/>
    <w:rPr>
      <w:b/>
      <w:i/>
      <w:u w:val="none"/>
    </w:rPr>
  </w:style>
  <w:style w:type="paragraph" w:styleId="BalloonText">
    <w:name w:val="Balloon Text"/>
    <w:basedOn w:val="Normal"/>
    <w:link w:val="BalloonTextChar"/>
    <w:rsid w:val="00990EDC"/>
    <w:rPr>
      <w:rFonts w:ascii="Tahoma" w:hAnsi="Tahoma" w:cs="Tahoma"/>
      <w:sz w:val="16"/>
      <w:szCs w:val="16"/>
    </w:rPr>
  </w:style>
  <w:style w:type="character" w:customStyle="1" w:styleId="BalloonTextChar">
    <w:name w:val="Balloon Text Char"/>
    <w:basedOn w:val="DefaultParagraphFont"/>
    <w:link w:val="BalloonText"/>
    <w:rsid w:val="00990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EDC"/>
    <w:rPr>
      <w:b/>
      <w:color w:val="660033"/>
      <w:spacing w:val="0"/>
    </w:rPr>
  </w:style>
  <w:style w:type="paragraph" w:customStyle="1" w:styleId="Nameditemlist">
    <w:name w:val="Named item list"/>
    <w:basedOn w:val="BodyText"/>
    <w:qFormat/>
    <w:rsid w:val="00990EDC"/>
    <w:pPr>
      <w:tabs>
        <w:tab w:val="left" w:pos="2835"/>
      </w:tabs>
      <w:ind w:left="2835" w:hanging="2835"/>
    </w:pPr>
  </w:style>
  <w:style w:type="paragraph" w:customStyle="1" w:styleId="BodyTextnopadding">
    <w:name w:val="Body Text no padding"/>
    <w:basedOn w:val="BodyText"/>
    <w:qFormat/>
    <w:rsid w:val="00990EDC"/>
    <w:pPr>
      <w:spacing w:before="0" w:after="0"/>
    </w:pPr>
  </w:style>
  <w:style w:type="paragraph" w:customStyle="1" w:styleId="BodyTextBold">
    <w:name w:val="Body Text Bold"/>
    <w:basedOn w:val="BodyText"/>
    <w:qFormat/>
    <w:rsid w:val="00990EDC"/>
    <w:rPr>
      <w:b/>
    </w:rPr>
  </w:style>
  <w:style w:type="character" w:styleId="Hyperlink">
    <w:name w:val="Hyperlink"/>
    <w:basedOn w:val="DefaultParagraphFont"/>
    <w:uiPriority w:val="99"/>
    <w:unhideWhenUsed/>
    <w:rsid w:val="00344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6420</Characters>
  <Application>Microsoft Office Word</Application>
  <DocSecurity>0</DocSecurity>
  <Lines>178</Lines>
  <Paragraphs>100</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PSPREV008 Determine stamp duties</dc:title>
  <dc:subject>Approved</dc:subject>
  <dc:creator>Public 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