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91D" w:rsidP="00733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PSPREV001 Identify and apply statute law</w:t>
      </w:r>
      <w:r>
        <w:fldChar w:fldCharType="end"/>
      </w:r>
    </w:p>
    <w:p w:rsidR="0073391D" w:rsidP="0073391D">
      <w:pPr>
        <w:pStyle w:val="Version"/>
        <w:sectPr w:rsidSect="00797E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EB1" w:rsidP="00797EB1">
      <w:pPr>
        <w:pStyle w:val="SuperHeading"/>
      </w:pPr>
      <w:r w:rsidRPr="00797EB1">
        <w:t>Assessment Requirements for PSPREV001 Identify and apply statute law</w:t>
      </w:r>
    </w:p>
    <w:p w:rsidR="00000000" w:rsidRPr="00797EB1" w:rsidP="00797EB1">
      <w:pPr>
        <w:pStyle w:val="Heading1"/>
      </w:pPr>
      <w:bookmarkStart w:id="1" w:name="O_826207"/>
      <w:bookmarkEnd w:id="1"/>
      <w:r w:rsidRPr="00797E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33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EB1">
            <w:pPr>
              <w:pStyle w:val="TableHeading"/>
              <w:rPr>
                <w:lang w:val="en-NZ"/>
              </w:rPr>
            </w:pPr>
            <w:r w:rsidRPr="00797EB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EB1">
            <w:pPr>
              <w:pStyle w:val="TableHeading"/>
              <w:rPr>
                <w:lang w:val="en-NZ"/>
              </w:rPr>
            </w:pPr>
            <w:r w:rsidRPr="00797EB1">
              <w:t>Comments</w:t>
            </w:r>
          </w:p>
        </w:tc>
      </w:tr>
      <w:tr w:rsidTr="007339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EB1">
            <w:pPr>
              <w:pStyle w:val="BodyText"/>
              <w:rPr>
                <w:lang w:val="en-NZ"/>
              </w:rPr>
            </w:pPr>
            <w:r w:rsidRPr="00797EB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EB1" w:rsidP="00797EB1">
            <w:pPr>
              <w:pStyle w:val="BodyText"/>
            </w:pPr>
            <w:r w:rsidRPr="00797EB1">
              <w:t xml:space="preserve">These Assessment Requirements were released in PSP Public Sector Training Package release 1.0 and meet the Standards for Training Packages. </w:t>
            </w:r>
          </w:p>
          <w:p w:rsidR="00000000" w:rsidRPr="00797EB1" w:rsidP="00797EB1">
            <w:pPr>
              <w:pStyle w:val="BodyText"/>
            </w:pPr>
          </w:p>
          <w:p w:rsidR="00000000" w:rsidRPr="00797EB1" w:rsidP="00797EB1">
            <w:pPr>
              <w:pStyle w:val="ListBullet"/>
            </w:pPr>
            <w:r w:rsidRPr="00797EB1">
              <w:t>Assessment Requirements created drawing upon specified assessment information from superseded unit</w:t>
            </w:r>
          </w:p>
        </w:tc>
      </w:tr>
    </w:tbl>
    <w:p w:rsidR="00000000" w:rsidRPr="00797EB1" w:rsidP="00797EB1">
      <w:pPr>
        <w:pStyle w:val="BodyText"/>
      </w:pPr>
    </w:p>
    <w:p w:rsidR="00000000" w:rsidRPr="00797EB1" w:rsidP="00797EB1">
      <w:pPr>
        <w:pStyle w:val="AllowPageBreak"/>
      </w:pPr>
    </w:p>
    <w:p w:rsidR="00000000" w:rsidRPr="00797EB1" w:rsidP="00797EB1">
      <w:pPr>
        <w:pStyle w:val="Heading1"/>
      </w:pPr>
      <w:bookmarkStart w:id="2" w:name="O_826208"/>
      <w:bookmarkEnd w:id="2"/>
      <w:r w:rsidRPr="00797EB1">
        <w:t>Performance Evidence</w:t>
      </w:r>
    </w:p>
    <w:p w:rsidR="00000000" w:rsidRPr="00797EB1" w:rsidP="0073391D">
      <w:pPr>
        <w:pStyle w:val="BodyText"/>
      </w:pPr>
      <w:r w:rsidRPr="00797EB1">
        <w:t xml:space="preserve">Evidence required to demonstrate competence must satisfy all of the requirements of the elements and performance criteria. If not otherwise specified </w:t>
      </w:r>
      <w:r w:rsidRPr="00797EB1">
        <w:t>the candidate must demonstrate evidence of performance of the following on at least one occasion.</w:t>
      </w:r>
    </w:p>
    <w:p w:rsidR="00000000" w:rsidRPr="00797EB1" w:rsidP="00797EB1">
      <w:pPr>
        <w:pStyle w:val="ListBullet"/>
      </w:pPr>
      <w:r w:rsidRPr="00797EB1">
        <w:t>searching for and identifying applicable statute laws, rulings, precedents and Commissioner’s practices</w:t>
      </w:r>
    </w:p>
    <w:p w:rsidR="00000000" w:rsidRPr="00797EB1" w:rsidP="00797EB1">
      <w:pPr>
        <w:pStyle w:val="ListBullet"/>
      </w:pPr>
      <w:r w:rsidRPr="00797EB1">
        <w:t>reading, analysing and interpreting complex, formal d</w:t>
      </w:r>
      <w:r w:rsidRPr="00797EB1">
        <w:t>ocuments, including legislation, regulations, explanatory statements, rulings and Commissioner’s practices and applying them to work situations</w:t>
      </w:r>
    </w:p>
    <w:p w:rsidR="00000000" w:rsidRPr="00797EB1" w:rsidP="00797EB1">
      <w:pPr>
        <w:pStyle w:val="ListBullet"/>
      </w:pPr>
      <w:r w:rsidRPr="00797EB1">
        <w:t>communicating with others involving exchanges of complex oral and written information</w:t>
      </w:r>
    </w:p>
    <w:p w:rsidR="00000000" w:rsidRPr="00797EB1" w:rsidP="00797EB1">
      <w:pPr>
        <w:pStyle w:val="ListBullet"/>
      </w:pPr>
      <w:r w:rsidRPr="00797EB1">
        <w:t>using technology to access</w:t>
      </w:r>
      <w:r w:rsidRPr="00797EB1">
        <w:t xml:space="preserve"> applicable statutes and record outcomes</w:t>
      </w:r>
    </w:p>
    <w:p w:rsidR="00000000" w:rsidRPr="00797EB1" w:rsidP="00797EB1">
      <w:pPr>
        <w:pStyle w:val="ListBullet"/>
      </w:pPr>
      <w:r w:rsidRPr="00797EB1">
        <w:t>applying environmental, sustainability and work health and safety procedures to administrative and IT-related work</w:t>
      </w:r>
    </w:p>
    <w:p w:rsidR="00000000" w:rsidRPr="00797EB1" w:rsidP="00797EB1">
      <w:pPr>
        <w:pStyle w:val="AllowPageBreak"/>
      </w:pPr>
    </w:p>
    <w:p w:rsidR="00000000" w:rsidRPr="00797EB1" w:rsidP="00797EB1">
      <w:pPr>
        <w:pStyle w:val="Heading1"/>
      </w:pPr>
      <w:bookmarkStart w:id="3" w:name="O_826209"/>
      <w:bookmarkEnd w:id="3"/>
      <w:r w:rsidRPr="00797EB1">
        <w:t>Knowledge Evidence</w:t>
      </w:r>
    </w:p>
    <w:p w:rsidR="00000000" w:rsidRPr="00797EB1" w:rsidP="0073391D">
      <w:pPr>
        <w:pStyle w:val="BodyText"/>
      </w:pPr>
      <w:r w:rsidRPr="00797EB1">
        <w:t xml:space="preserve">Evidence required to demonstrate competence must satisfy all of </w:t>
      </w:r>
      <w:r w:rsidRPr="00797EB1">
        <w:t>the requirements of the elements and performance criteria. If not otherwise specified the depth of knowledge demonstrated must be appropriate to the job context of the candidate.</w:t>
      </w:r>
    </w:p>
    <w:p w:rsidR="00000000" w:rsidRPr="00797EB1" w:rsidP="00797EB1">
      <w:pPr>
        <w:pStyle w:val="ListBullet"/>
      </w:pPr>
      <w:r w:rsidRPr="00797EB1">
        <w:t xml:space="preserve">law-making processes in Australia </w:t>
      </w:r>
    </w:p>
    <w:p w:rsidR="00000000" w:rsidRPr="00797EB1" w:rsidP="00797EB1">
      <w:pPr>
        <w:pStyle w:val="ListBullet"/>
      </w:pPr>
      <w:r w:rsidRPr="00797EB1">
        <w:t>structure and components of an Act</w:t>
      </w:r>
    </w:p>
    <w:p w:rsidR="00000000" w:rsidRPr="00797EB1" w:rsidP="00797EB1">
      <w:pPr>
        <w:pStyle w:val="ListBullet"/>
      </w:pPr>
      <w:r w:rsidRPr="00797EB1">
        <w:t>primar</w:t>
      </w:r>
      <w:r w:rsidRPr="00797EB1">
        <w:t>y and secondary sources of law</w:t>
      </w:r>
    </w:p>
    <w:p w:rsidR="00000000" w:rsidRPr="00797EB1" w:rsidP="00797EB1">
      <w:pPr>
        <w:pStyle w:val="ListBullet"/>
      </w:pPr>
      <w:r w:rsidRPr="00797EB1">
        <w:t>principal rules governing the interpretation of statute law</w:t>
      </w:r>
    </w:p>
    <w:p w:rsidR="00000000" w:rsidRPr="00797EB1" w:rsidP="00797EB1">
      <w:pPr>
        <w:pStyle w:val="ListBullet"/>
      </w:pPr>
      <w:r w:rsidRPr="00797EB1">
        <w:t>the doctrine of precedent</w:t>
      </w:r>
    </w:p>
    <w:p w:rsidR="00000000" w:rsidRPr="00797EB1" w:rsidP="00797EB1">
      <w:pPr>
        <w:pStyle w:val="ListBullet"/>
      </w:pPr>
      <w:r w:rsidRPr="00797EB1">
        <w:t>purpose and use of Interpretation Act</w:t>
      </w:r>
    </w:p>
    <w:p w:rsidR="00000000" w:rsidRPr="00797EB1" w:rsidP="00797EB1">
      <w:pPr>
        <w:pStyle w:val="ListBullet"/>
      </w:pPr>
      <w:r w:rsidRPr="00797EB1">
        <w:t>abbreviations and commonly accepted practices used in citing statute law</w:t>
      </w:r>
    </w:p>
    <w:p w:rsidR="00000000" w:rsidRPr="00797EB1" w:rsidP="00797EB1">
      <w:pPr>
        <w:pStyle w:val="AllowPageBreak"/>
      </w:pPr>
    </w:p>
    <w:p w:rsidR="00000000" w:rsidRPr="00797EB1" w:rsidP="00797EB1">
      <w:pPr>
        <w:pStyle w:val="Heading1"/>
      </w:pPr>
      <w:bookmarkStart w:id="4" w:name="O_826210"/>
      <w:bookmarkEnd w:id="4"/>
      <w:r w:rsidRPr="00797EB1">
        <w:t xml:space="preserve">Assessment </w:t>
      </w:r>
      <w:r w:rsidRPr="00797EB1">
        <w:t>Conditions</w:t>
      </w:r>
    </w:p>
    <w:p w:rsidR="00000000" w:rsidRPr="00797EB1" w:rsidP="0073391D">
      <w:pPr>
        <w:pStyle w:val="BodyText"/>
      </w:pPr>
      <w:r w:rsidRPr="00797EB1">
        <w:t xml:space="preserve">This unit contains no specific industry-mandated assessment conditions. Guidance on suggested and recommended conditions and methods can be found in the Implementation Guide. </w:t>
      </w:r>
    </w:p>
    <w:p w:rsidR="0073391D" w:rsidP="0073391D">
      <w:pPr>
        <w:pStyle w:val="BodyText"/>
      </w:pPr>
      <w:r w:rsidRPr="00797EB1">
        <w:t>Assessors must satisfy the NVR/AQTF mandatory competency requirement</w:t>
      </w:r>
      <w:r w:rsidRPr="00797EB1">
        <w:t>s for assessors.</w:t>
      </w:r>
    </w:p>
    <w:p w:rsidR="00000000" w:rsidRPr="00797EB1" w:rsidP="00797EB1">
      <w:pPr>
        <w:pStyle w:val="Heading1"/>
      </w:pPr>
      <w:bookmarkStart w:id="5" w:name="O_826213"/>
      <w:bookmarkEnd w:id="5"/>
      <w:r w:rsidRPr="00797EB1">
        <w:t>Links</w:t>
      </w:r>
    </w:p>
    <w:p w:rsidR="00000000" w:rsidRPr="00797EB1" w:rsidP="0073391D">
      <w:pPr>
        <w:pStyle w:val="BodyText"/>
      </w:pPr>
      <w:r w:rsidRPr="00797E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0E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97EB1" w:rsidP="0073391D">
      <w:pPr>
        <w:pStyle w:val="BodyText"/>
      </w:pPr>
      <w:r w:rsidRPr="00797E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0E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97EB1" w:rsidP="0073391D">
      <w:pPr>
        <w:pStyle w:val="BodyText"/>
      </w:pPr>
      <w:r w:rsidRPr="00797E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0E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97EB1" w:rsidP="00797EB1"/>
    <w:sectPr w:rsidSect="00797E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E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EB1" w:rsidRPr="0073391D" w:rsidP="00733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E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91D" w:rsidP="00797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391D" w:rsidP="00797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391D" w:rsidP="00797E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E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EB1" w:rsidRPr="0073391D" w:rsidP="00733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E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91D" w:rsidRPr="002D2AF8" w:rsidP="00797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PSPREV001 Identify and apply statute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73391D" w:rsidP="00797E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8E9D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0823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E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E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E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E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E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E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E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E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E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E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E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EB1"/>
  </w:style>
  <w:style w:type="character" w:customStyle="1" w:styleId="Heading1Char">
    <w:name w:val="Heading 1 Char"/>
    <w:basedOn w:val="DefaultParagraphFont"/>
    <w:link w:val="Heading1"/>
    <w:rsid w:val="00797E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E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E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E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97E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7E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7E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E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E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E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E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E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E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E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E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E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E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E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E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E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E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E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E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7EB1"/>
    <w:rPr>
      <w:b/>
      <w:spacing w:val="0"/>
    </w:rPr>
  </w:style>
  <w:style w:type="paragraph" w:customStyle="1" w:styleId="SuperTitle">
    <w:name w:val="SuperTitle"/>
    <w:basedOn w:val="Title"/>
    <w:rsid w:val="00797E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E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E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E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E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E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E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E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E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E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E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E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E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EB1"/>
    <w:rPr>
      <w:i/>
    </w:rPr>
  </w:style>
  <w:style w:type="paragraph" w:styleId="Caption">
    <w:name w:val="caption"/>
    <w:basedOn w:val="BodyText"/>
    <w:next w:val="Normal"/>
    <w:qFormat/>
    <w:rsid w:val="00797E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E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E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EB1"/>
  </w:style>
  <w:style w:type="paragraph" w:styleId="TableofFigures">
    <w:name w:val="table of figures"/>
    <w:basedOn w:val="Normal"/>
    <w:next w:val="Normal"/>
    <w:semiHidden/>
    <w:rsid w:val="00797E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E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EB1"/>
    <w:rPr>
      <w:rFonts w:ascii="Wingdings" w:hAnsi="Wingdings"/>
    </w:rPr>
  </w:style>
  <w:style w:type="character" w:customStyle="1" w:styleId="HotSpot">
    <w:name w:val="HotSpot"/>
    <w:rsid w:val="00797EB1"/>
    <w:rPr>
      <w:color w:val="0033CC"/>
      <w:u w:val="none"/>
    </w:rPr>
  </w:style>
  <w:style w:type="paragraph" w:customStyle="1" w:styleId="BodyTextRight">
    <w:name w:val="Body Text Right"/>
    <w:basedOn w:val="BodyText"/>
    <w:rsid w:val="00797E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E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E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E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E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E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EB1"/>
    <w:rPr>
      <w:sz w:val="32"/>
    </w:rPr>
  </w:style>
  <w:style w:type="paragraph" w:customStyle="1" w:styleId="HeadingProcedure">
    <w:name w:val="Heading Procedure"/>
    <w:basedOn w:val="HeadingBase"/>
    <w:next w:val="Normal"/>
    <w:rsid w:val="00797E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EB1"/>
    <w:pPr>
      <w:spacing w:before="60" w:after="60"/>
    </w:pPr>
  </w:style>
  <w:style w:type="paragraph" w:styleId="ListContinue">
    <w:name w:val="List Continue"/>
    <w:basedOn w:val="List"/>
    <w:rsid w:val="00797EB1"/>
    <w:pPr>
      <w:ind w:firstLine="0"/>
    </w:pPr>
  </w:style>
  <w:style w:type="paragraph" w:customStyle="1" w:styleId="ListNote">
    <w:name w:val="List Note"/>
    <w:basedOn w:val="List"/>
    <w:rsid w:val="00797E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E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E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EB1"/>
    <w:rPr>
      <w:rFonts w:ascii="Courier New" w:hAnsi="Courier New"/>
    </w:rPr>
  </w:style>
  <w:style w:type="paragraph" w:customStyle="1" w:styleId="NoteBullet">
    <w:name w:val="Note Bullet"/>
    <w:basedOn w:val="Note"/>
    <w:rsid w:val="00797E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E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E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E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E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E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E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EB1"/>
    <w:rPr>
      <w:b/>
      <w:smallCaps/>
    </w:rPr>
  </w:style>
  <w:style w:type="paragraph" w:customStyle="1" w:styleId="TableListNumber">
    <w:name w:val="Table List Number"/>
    <w:basedOn w:val="ListNumber"/>
    <w:rsid w:val="00797E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E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EB1"/>
    <w:pPr>
      <w:numPr>
        <w:numId w:val="8"/>
      </w:numPr>
    </w:pPr>
  </w:style>
  <w:style w:type="paragraph" w:customStyle="1" w:styleId="ListAlpha2">
    <w:name w:val="List Alpha 2"/>
    <w:basedOn w:val="List2"/>
    <w:rsid w:val="00797EB1"/>
    <w:pPr>
      <w:numPr>
        <w:numId w:val="7"/>
      </w:numPr>
    </w:pPr>
  </w:style>
  <w:style w:type="paragraph" w:styleId="List2">
    <w:name w:val="List 2"/>
    <w:basedOn w:val="BodyText"/>
    <w:rsid w:val="00797E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E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E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E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E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E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EB1"/>
    <w:pPr>
      <w:numPr>
        <w:numId w:val="3"/>
      </w:numPr>
    </w:pPr>
  </w:style>
  <w:style w:type="paragraph" w:styleId="ListContinue2">
    <w:name w:val="List Continue 2"/>
    <w:basedOn w:val="List2"/>
    <w:rsid w:val="00797EB1"/>
    <w:pPr>
      <w:ind w:firstLine="0"/>
    </w:pPr>
  </w:style>
  <w:style w:type="paragraph" w:styleId="ListContinue3">
    <w:name w:val="List Continue 3"/>
    <w:basedOn w:val="List3"/>
    <w:rsid w:val="00797EB1"/>
    <w:pPr>
      <w:ind w:left="1021" w:firstLine="0"/>
    </w:pPr>
  </w:style>
  <w:style w:type="paragraph" w:styleId="ListContinue4">
    <w:name w:val="List Continue 4"/>
    <w:basedOn w:val="List4"/>
    <w:rsid w:val="00797EB1"/>
    <w:pPr>
      <w:ind w:firstLine="0"/>
    </w:pPr>
  </w:style>
  <w:style w:type="paragraph" w:styleId="ListContinue5">
    <w:name w:val="List Continue 5"/>
    <w:basedOn w:val="List5"/>
    <w:rsid w:val="00797EB1"/>
    <w:pPr>
      <w:ind w:firstLine="0"/>
    </w:pPr>
  </w:style>
  <w:style w:type="paragraph" w:styleId="ListNumber3">
    <w:name w:val="List Number 3"/>
    <w:basedOn w:val="List3"/>
    <w:rsid w:val="00797EB1"/>
    <w:pPr>
      <w:numPr>
        <w:numId w:val="4"/>
      </w:numPr>
    </w:pPr>
  </w:style>
  <w:style w:type="paragraph" w:styleId="ListNumber4">
    <w:name w:val="List Number 4"/>
    <w:basedOn w:val="List4"/>
    <w:rsid w:val="00797EB1"/>
    <w:pPr>
      <w:numPr>
        <w:numId w:val="5"/>
      </w:numPr>
    </w:pPr>
  </w:style>
  <w:style w:type="paragraph" w:styleId="ListNumber5">
    <w:name w:val="List Number 5"/>
    <w:basedOn w:val="List5"/>
    <w:rsid w:val="00797EB1"/>
    <w:pPr>
      <w:numPr>
        <w:numId w:val="6"/>
      </w:numPr>
    </w:pPr>
  </w:style>
  <w:style w:type="paragraph" w:styleId="BlockText">
    <w:name w:val="Block Text"/>
    <w:basedOn w:val="Normal"/>
    <w:rsid w:val="00797E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E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EB1"/>
    <w:rPr>
      <w:sz w:val="16"/>
      <w:vertAlign w:val="superscript"/>
    </w:rPr>
  </w:style>
  <w:style w:type="character" w:customStyle="1" w:styleId="Symbols">
    <w:name w:val="Symbols"/>
    <w:basedOn w:val="DefaultParagraphFont"/>
    <w:rsid w:val="00797EB1"/>
    <w:rPr>
      <w:rFonts w:ascii="Symbol" w:hAnsi="Symbol"/>
    </w:rPr>
  </w:style>
  <w:style w:type="character" w:customStyle="1" w:styleId="MenuOptions">
    <w:name w:val="Menu Options"/>
    <w:basedOn w:val="DefaultParagraphFont"/>
    <w:rsid w:val="00797E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EB1"/>
    <w:rPr>
      <w:b/>
    </w:rPr>
  </w:style>
  <w:style w:type="character" w:customStyle="1" w:styleId="Underlined">
    <w:name w:val="Underlined"/>
    <w:basedOn w:val="DefaultParagraphFont"/>
    <w:rsid w:val="00797EB1"/>
    <w:rPr>
      <w:u w:val="single"/>
    </w:rPr>
  </w:style>
  <w:style w:type="paragraph" w:customStyle="1" w:styleId="TableBodyTextRight">
    <w:name w:val="Table Body Text Right"/>
    <w:basedOn w:val="TableBodyText"/>
    <w:rsid w:val="00797E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EB1"/>
    <w:rPr>
      <w:sz w:val="18"/>
    </w:rPr>
  </w:style>
  <w:style w:type="paragraph" w:customStyle="1" w:styleId="BodySmallRight">
    <w:name w:val="Body Small Right"/>
    <w:basedOn w:val="BodyTextRight"/>
    <w:rsid w:val="00797EB1"/>
    <w:rPr>
      <w:sz w:val="18"/>
      <w:szCs w:val="18"/>
    </w:rPr>
  </w:style>
  <w:style w:type="paragraph" w:customStyle="1" w:styleId="MarginEdition">
    <w:name w:val="Margin Edition"/>
    <w:basedOn w:val="MarginNote"/>
    <w:rsid w:val="00797E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EB1"/>
    <w:rPr>
      <w:sz w:val="2"/>
      <w:szCs w:val="2"/>
    </w:rPr>
  </w:style>
  <w:style w:type="character" w:customStyle="1" w:styleId="Small">
    <w:name w:val="Small"/>
    <w:basedOn w:val="DefaultParagraphFont"/>
    <w:rsid w:val="00797EB1"/>
    <w:rPr>
      <w:sz w:val="16"/>
    </w:rPr>
  </w:style>
  <w:style w:type="paragraph" w:customStyle="1" w:styleId="WideTable">
    <w:name w:val="Wide Table"/>
    <w:basedOn w:val="Normal"/>
    <w:rsid w:val="00797E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EB1"/>
  </w:style>
  <w:style w:type="paragraph" w:styleId="Quote">
    <w:name w:val="Quote"/>
    <w:basedOn w:val="Heading1"/>
    <w:link w:val="QuoteChar"/>
    <w:qFormat/>
    <w:rsid w:val="00797E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E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EB1"/>
    <w:pPr>
      <w:pageBreakBefore/>
    </w:pPr>
  </w:style>
  <w:style w:type="paragraph" w:customStyle="1" w:styleId="Border">
    <w:name w:val="Border"/>
    <w:basedOn w:val="Normal"/>
    <w:qFormat/>
    <w:rsid w:val="00797E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E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E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E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E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E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E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E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E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EB1"/>
    <w:rPr>
      <w:u w:val="single"/>
    </w:rPr>
  </w:style>
  <w:style w:type="character" w:customStyle="1" w:styleId="BoldandItalics">
    <w:name w:val="Bold and Italics"/>
    <w:qFormat/>
    <w:rsid w:val="00797EB1"/>
    <w:rPr>
      <w:b/>
      <w:i/>
      <w:u w:val="none"/>
    </w:rPr>
  </w:style>
  <w:style w:type="paragraph" w:styleId="BalloonText">
    <w:name w:val="Balloon Text"/>
    <w:basedOn w:val="Normal"/>
    <w:link w:val="BalloonTextChar"/>
    <w:rsid w:val="00797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E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E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E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E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E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EB1"/>
    <w:pPr>
      <w:spacing w:before="0" w:after="0"/>
    </w:pPr>
  </w:style>
  <w:style w:type="paragraph" w:customStyle="1" w:styleId="BodyTextBold">
    <w:name w:val="Body Text Bold"/>
    <w:basedOn w:val="BodyText"/>
    <w:qFormat/>
    <w:rsid w:val="00797EB1"/>
    <w:rPr>
      <w:b/>
    </w:rPr>
  </w:style>
  <w:style w:type="character" w:styleId="Hyperlink">
    <w:name w:val="Hyperlink"/>
    <w:basedOn w:val="DefaultParagraphFont"/>
    <w:uiPriority w:val="99"/>
    <w:unhideWhenUsed/>
    <w:rsid w:val="00733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2586</Characters>
  <Application>Microsoft Office Word</Application>
  <DocSecurity>0</DocSecurity>
  <Lines>66</Lines>
  <Paragraphs>41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PSPREV001 Identify and apply statute law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2022-04-03T13:32:00Z</dcterms:created>
  <dcterms:modified xsi:type="dcterms:W3CDTF">2022-04-03T13:32:00Z</dcterms:modified>
</cp:coreProperties>
</file>