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718" w:rsidP="00AE3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PSPREG049 Manage investigations program</w:t>
      </w:r>
      <w:r>
        <w:fldChar w:fldCharType="end"/>
      </w:r>
    </w:p>
    <w:p w:rsidR="00AE3718" w:rsidP="00AE3718">
      <w:pPr>
        <w:pStyle w:val="Version"/>
        <w:sectPr w:rsidSect="004C2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127" w:rsidP="004C2127">
      <w:pPr>
        <w:pStyle w:val="SuperHeading"/>
      </w:pPr>
      <w:r w:rsidRPr="004C2127">
        <w:t>PSPREG049 Manage investigations program</w:t>
      </w:r>
    </w:p>
    <w:p w:rsidR="00000000" w:rsidRPr="004C2127" w:rsidP="004C2127">
      <w:pPr>
        <w:pStyle w:val="Heading1"/>
      </w:pPr>
      <w:bookmarkStart w:id="1" w:name="O_1217168"/>
      <w:bookmarkEnd w:id="1"/>
      <w:r w:rsidRPr="004C2127">
        <w:t>Modification History</w:t>
      </w:r>
    </w:p>
    <w:p w:rsidR="00000000" w:rsidRPr="004C2127" w:rsidP="00AE3718">
      <w:pPr>
        <w:pStyle w:val="BodyText"/>
      </w:pPr>
      <w:r w:rsidRPr="004C2127">
        <w:t>Supersedes and is not equivalent to PSPREG030 Manage investigations program.</w:t>
      </w:r>
    </w:p>
    <w:p w:rsidR="00000000" w:rsidRPr="004C2127" w:rsidP="004C2127">
      <w:pPr>
        <w:pStyle w:val="Heading1"/>
      </w:pPr>
      <w:bookmarkStart w:id="2" w:name="O_1217169"/>
      <w:bookmarkEnd w:id="2"/>
      <w:r w:rsidRPr="004C2127">
        <w:t>Application</w:t>
      </w:r>
    </w:p>
    <w:p w:rsidR="00000000" w:rsidRPr="004C2127" w:rsidP="00AE3718">
      <w:pPr>
        <w:pStyle w:val="BodyText"/>
      </w:pPr>
      <w:r w:rsidRPr="004C2127">
        <w:t xml:space="preserve">This unit describes the performance outcomes, skills and knowledge required to manage an organisation’s investigations program </w:t>
      </w:r>
      <w:r w:rsidRPr="004C2127">
        <w:t xml:space="preserve">where investigations may be conducted internally, externally or referred to other law enforcement agencies. </w:t>
      </w:r>
    </w:p>
    <w:p w:rsidR="00000000" w:rsidRPr="004C2127" w:rsidP="00AE3718">
      <w:pPr>
        <w:pStyle w:val="BodyText"/>
      </w:pPr>
      <w:r w:rsidRPr="004C2127">
        <w:t>This unit applies to those working in regulatory roles involving investigations within the public sector. Those undertaking this unit work independ</w:t>
      </w:r>
      <w:r w:rsidRPr="004C2127">
        <w:t>ently, performing complex tasks in a range of familiar and unfamiliar contexts.</w:t>
      </w:r>
    </w:p>
    <w:p w:rsidR="00000000" w:rsidRPr="004C2127" w:rsidP="00AE3718">
      <w:pPr>
        <w:pStyle w:val="BodyText"/>
      </w:pPr>
      <w:r w:rsidRPr="004C2127">
        <w:t>The skills in this unit must be applied in accordance with Commonwealth and State or Territory legislation, Australian standards and industry codes of practice.</w:t>
      </w:r>
    </w:p>
    <w:p w:rsidR="00000000" w:rsidRPr="004C2127" w:rsidP="00AE3718">
      <w:pPr>
        <w:pStyle w:val="BodyText"/>
      </w:pPr>
      <w:r w:rsidRPr="004C2127">
        <w:t>No occupational</w:t>
      </w:r>
      <w:r w:rsidRPr="004C2127">
        <w:t xml:space="preserve"> licensing, certification or specific legislative requirements apply to this unit at the time of publication.</w:t>
      </w:r>
    </w:p>
    <w:p w:rsidR="00000000" w:rsidRPr="004C2127" w:rsidP="004C2127">
      <w:pPr>
        <w:pStyle w:val="Heading1"/>
      </w:pPr>
      <w:bookmarkStart w:id="3" w:name="O_1217170"/>
      <w:bookmarkEnd w:id="3"/>
      <w:r w:rsidRPr="004C2127">
        <w:t>Pre-requisite Unit</w:t>
      </w:r>
    </w:p>
    <w:p w:rsidR="00000000" w:rsidRPr="004C2127" w:rsidP="00AE3718">
      <w:pPr>
        <w:pStyle w:val="BodyText"/>
      </w:pPr>
      <w:r w:rsidRPr="004C2127">
        <w:t xml:space="preserve">Nil </w:t>
      </w:r>
    </w:p>
    <w:p w:rsidR="00000000" w:rsidRPr="004C2127" w:rsidP="004C2127">
      <w:pPr>
        <w:pStyle w:val="Heading1"/>
      </w:pPr>
      <w:bookmarkStart w:id="4" w:name="O_1217171"/>
      <w:bookmarkEnd w:id="4"/>
      <w:r w:rsidRPr="004C2127">
        <w:t>Competency Field</w:t>
      </w:r>
    </w:p>
    <w:p w:rsidR="00000000" w:rsidRPr="004C2127" w:rsidP="00AE3718">
      <w:pPr>
        <w:pStyle w:val="BodyText"/>
      </w:pPr>
      <w:r w:rsidRPr="004C2127">
        <w:t>Regulatory</w:t>
      </w:r>
    </w:p>
    <w:p w:rsidR="00000000" w:rsidRPr="004C2127" w:rsidP="004C2127">
      <w:pPr>
        <w:pStyle w:val="Heading1"/>
      </w:pPr>
      <w:bookmarkStart w:id="5" w:name="O_1217173"/>
      <w:bookmarkEnd w:id="5"/>
      <w:r w:rsidRPr="004C21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7"/>
        <w:gridCol w:w="6385"/>
      </w:tblGrid>
      <w:tr w:rsidTr="004C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27" w:rsidP="004C2127">
            <w:pPr>
              <w:pStyle w:val="BodyText"/>
            </w:pPr>
            <w:r w:rsidRPr="004C2127">
              <w:rPr>
                <w:rStyle w:val="SpecialBold"/>
              </w:rPr>
              <w:t>ELE</w:t>
            </w:r>
            <w:r w:rsidRPr="004C2127">
              <w:rPr>
                <w:rStyle w:val="SpecialBold"/>
              </w:rPr>
              <w:t>MENTS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27">
            <w:pPr>
              <w:pStyle w:val="BodyText"/>
              <w:rPr>
                <w:lang w:val="en-NZ"/>
              </w:rPr>
            </w:pPr>
            <w:r w:rsidRPr="004C2127">
              <w:rPr>
                <w:rStyle w:val="SpecialBold"/>
              </w:rPr>
              <w:t>PERFORMANCE</w:t>
            </w:r>
            <w:r w:rsidRPr="004C2127">
              <w:t xml:space="preserve"> </w:t>
            </w:r>
            <w:r w:rsidRPr="004C2127">
              <w:rPr>
                <w:rStyle w:val="SpecialBold"/>
              </w:rPr>
              <w:t>CRITERIA</w:t>
            </w:r>
          </w:p>
        </w:tc>
      </w:tr>
      <w:tr w:rsidTr="004C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27" w:rsidP="004C2127">
            <w:pPr>
              <w:pStyle w:val="BodyText"/>
            </w:pPr>
            <w:r w:rsidRPr="004C2127">
              <w:rPr>
                <w:rStyle w:val="Emphasis"/>
              </w:rPr>
              <w:t>Elements describe the essential outcomes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27">
            <w:pPr>
              <w:pStyle w:val="BodyText"/>
              <w:rPr>
                <w:lang w:val="en-NZ"/>
              </w:rPr>
            </w:pPr>
            <w:r w:rsidRPr="004C21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9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27">
            <w:pPr>
              <w:pStyle w:val="List"/>
              <w:rPr>
                <w:lang w:val="en-NZ"/>
              </w:rPr>
            </w:pPr>
            <w:r w:rsidRPr="004C2127">
              <w:t>1.  Articulate and authorise investigations strategy.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27" w:rsidP="004C2127">
            <w:pPr>
              <w:pStyle w:val="List"/>
            </w:pPr>
            <w:r w:rsidRPr="004C2127">
              <w:t>1.1. Link investigations strategy to objectives of the organisational compliance strategy.</w:t>
            </w:r>
          </w:p>
          <w:p w:rsidR="00000000" w:rsidRPr="004C2127" w:rsidP="004C2127">
            <w:pPr>
              <w:pStyle w:val="List"/>
            </w:pPr>
            <w:r w:rsidRPr="004C2127">
              <w:t>1.2. Use compliance strategy to communicate the roles of staff in investigations.</w:t>
            </w:r>
          </w:p>
          <w:p w:rsidR="00000000" w:rsidRPr="004C2127" w:rsidP="004C2127">
            <w:pPr>
              <w:pStyle w:val="List"/>
            </w:pPr>
            <w:r w:rsidRPr="004C2127">
              <w:t>1.3. Develop policy and procedures to enable staff to conduct successful investigat</w:t>
            </w:r>
            <w:r w:rsidRPr="004C2127">
              <w:t>ions and meet organisational objectives.</w:t>
            </w:r>
          </w:p>
          <w:p w:rsidR="00000000" w:rsidRPr="004C2127" w:rsidP="004C2127">
            <w:pPr>
              <w:pStyle w:val="List"/>
            </w:pPr>
            <w:r w:rsidRPr="004C2127">
              <w:t>1.4. Develop guidelines to assist decision making on whether particular investigations should be conducted in house or through other agencies.</w:t>
            </w:r>
          </w:p>
          <w:p w:rsidR="00000000" w:rsidRPr="004C2127" w:rsidP="004C2127">
            <w:pPr>
              <w:pStyle w:val="List"/>
            </w:pPr>
            <w:r w:rsidRPr="004C2127">
              <w:t>1.5. Include documented organisational procedures for handling investiga</w:t>
            </w:r>
            <w:r w:rsidRPr="004C2127">
              <w:t>tions in guidelines.</w:t>
            </w:r>
          </w:p>
          <w:p w:rsidR="00000000" w:rsidP="004C2127">
            <w:pPr>
              <w:pStyle w:val="List"/>
              <w:rPr>
                <w:lang w:val="en-NZ"/>
              </w:rPr>
            </w:pPr>
            <w:r w:rsidRPr="004C2127">
              <w:t>1.6. Address staff training and maintenance of standards in the development of the guidelines.</w:t>
            </w:r>
          </w:p>
        </w:tc>
      </w:tr>
      <w:tr w:rsidTr="004C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98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27">
            <w:pPr>
              <w:pStyle w:val="List"/>
              <w:rPr>
                <w:lang w:val="en-NZ"/>
              </w:rPr>
            </w:pPr>
            <w:r w:rsidRPr="004C2127">
              <w:t>2.  Evaluate process of investigations.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27" w:rsidP="004C2127">
            <w:pPr>
              <w:pStyle w:val="List"/>
            </w:pPr>
            <w:r w:rsidRPr="004C2127">
              <w:t>2.1. Establish scheduled times for evaluation and review.</w:t>
            </w:r>
          </w:p>
          <w:p w:rsidR="00000000" w:rsidRPr="004C2127" w:rsidP="004C2127">
            <w:pPr>
              <w:pStyle w:val="List"/>
            </w:pPr>
            <w:r w:rsidRPr="004C2127">
              <w:t>2.2. Develop and communicate consultation</w:t>
            </w:r>
            <w:r w:rsidRPr="004C2127">
              <w:t>, review and development processes.</w:t>
            </w:r>
          </w:p>
          <w:p w:rsidR="00000000" w:rsidRPr="004C2127" w:rsidP="004C2127">
            <w:pPr>
              <w:pStyle w:val="List"/>
            </w:pPr>
            <w:r w:rsidRPr="004C2127">
              <w:t>2.3. Establish quality assurance review programs to maintain or enhance the integrity of policies and procedures.</w:t>
            </w:r>
          </w:p>
          <w:p w:rsidR="00000000" w:rsidRPr="004C2127" w:rsidP="004C2127">
            <w:pPr>
              <w:pStyle w:val="List"/>
            </w:pPr>
            <w:r w:rsidRPr="004C2127">
              <w:t xml:space="preserve">2.4. Use data from performance measures to validate investigation processes against best practice, noting </w:t>
            </w:r>
            <w:r w:rsidRPr="004C2127">
              <w:t>areas where improvements are needed as part of quality implementation.</w:t>
            </w:r>
          </w:p>
          <w:p w:rsidR="00000000" w:rsidRPr="004C2127" w:rsidP="004C2127">
            <w:pPr>
              <w:pStyle w:val="List"/>
            </w:pPr>
            <w:r w:rsidRPr="004C2127">
              <w:t>2.5. Compare recommendations to improve organisational guidelines with legislative and judicial standards, to improve consistency with external benchmarks.</w:t>
            </w:r>
          </w:p>
          <w:p w:rsidR="00000000" w:rsidP="004C2127">
            <w:pPr>
              <w:pStyle w:val="List"/>
              <w:rPr>
                <w:lang w:val="en-NZ"/>
              </w:rPr>
            </w:pPr>
            <w:r w:rsidRPr="004C2127">
              <w:t>2.6. Manage statutory reporti</w:t>
            </w:r>
            <w:r w:rsidRPr="004C2127">
              <w:t>ng obligations.</w:t>
            </w:r>
          </w:p>
        </w:tc>
      </w:tr>
      <w:tr w:rsidTr="004C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0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27">
            <w:pPr>
              <w:pStyle w:val="List"/>
              <w:rPr>
                <w:lang w:val="en-NZ"/>
              </w:rPr>
            </w:pPr>
            <w:r w:rsidRPr="004C2127">
              <w:t>3.  Evaluate outcomes of investigations.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27" w:rsidP="004C2127">
            <w:pPr>
              <w:pStyle w:val="List"/>
            </w:pPr>
            <w:r w:rsidRPr="004C2127">
              <w:t>3.1. Report on resolution rate of investigations and analyse for improvement.</w:t>
            </w:r>
          </w:p>
          <w:p w:rsidR="00000000" w:rsidP="004C2127">
            <w:pPr>
              <w:pStyle w:val="List"/>
              <w:rPr>
                <w:lang w:val="en-NZ"/>
              </w:rPr>
            </w:pPr>
            <w:r w:rsidRPr="004C2127">
              <w:t>3.2. Amend strategic directions to improve the rate of investigation resolution and time taken to complete investigations.</w:t>
            </w:r>
          </w:p>
        </w:tc>
      </w:tr>
      <w:tr w:rsidTr="004C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8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27">
            <w:pPr>
              <w:pStyle w:val="List"/>
              <w:rPr>
                <w:lang w:val="en-NZ"/>
              </w:rPr>
            </w:pPr>
            <w:r w:rsidRPr="004C2127">
              <w:t>4.  Handle complaints.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27" w:rsidP="004C2127">
            <w:pPr>
              <w:pStyle w:val="List"/>
            </w:pPr>
            <w:r w:rsidRPr="004C2127">
              <w:t>4.1. Establish strategies to handle situations that may impact on the reputation of the organisation.</w:t>
            </w:r>
          </w:p>
          <w:p w:rsidR="00000000" w:rsidP="004C2127">
            <w:pPr>
              <w:pStyle w:val="List"/>
              <w:rPr>
                <w:lang w:val="en-NZ"/>
              </w:rPr>
            </w:pPr>
            <w:r w:rsidRPr="004C2127">
              <w:t>4.2. Im</w:t>
            </w:r>
            <w:r w:rsidRPr="004C2127">
              <w:t>plement policy and procedures to facilitate the reporting of potentially serious situations.</w:t>
            </w:r>
          </w:p>
        </w:tc>
      </w:tr>
      <w:tr w:rsidTr="004C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27">
            <w:pPr>
              <w:pStyle w:val="List"/>
              <w:rPr>
                <w:lang w:val="en-NZ"/>
              </w:rPr>
            </w:pPr>
            <w:r w:rsidRPr="004C2127">
              <w:t>5.  Authorise investigations.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27" w:rsidP="004C2127">
            <w:pPr>
              <w:pStyle w:val="List"/>
            </w:pPr>
            <w:r w:rsidRPr="004C2127">
              <w:t>5.1. Determine authority levels to reflect structure and reporting lines within the organisation, and jurisdictional and legislative</w:t>
            </w:r>
            <w:r w:rsidRPr="004C2127">
              <w:t xml:space="preserve"> requirements.</w:t>
            </w:r>
          </w:p>
          <w:p w:rsidR="00000000" w:rsidRPr="004C2127" w:rsidP="004C2127">
            <w:pPr>
              <w:pStyle w:val="List"/>
            </w:pPr>
            <w:r w:rsidRPr="004C2127">
              <w:t>5.2. Base decisions regarding the allocation of investigative tasks to internal or external investigation personnel on organisational guidelines.</w:t>
            </w:r>
          </w:p>
          <w:p w:rsidR="00000000" w:rsidP="004C2127">
            <w:pPr>
              <w:pStyle w:val="List"/>
              <w:rPr>
                <w:lang w:val="en-NZ"/>
              </w:rPr>
            </w:pPr>
            <w:r w:rsidRPr="004C2127">
              <w:t>5.3. Accompany any reque</w:t>
            </w:r>
            <w:r w:rsidRPr="004C2127">
              <w:t>st for authorisation by senior management with sufficient information to facilitate effective and timely decision-making.</w:t>
            </w:r>
          </w:p>
        </w:tc>
      </w:tr>
      <w:tr w:rsidTr="004C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8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27">
            <w:pPr>
              <w:pStyle w:val="List"/>
              <w:rPr>
                <w:lang w:val="en-NZ"/>
              </w:rPr>
            </w:pPr>
            <w:r w:rsidRPr="004C2127">
              <w:t>6.  Change strategic direction of investigations.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27" w:rsidP="004C2127">
            <w:pPr>
              <w:pStyle w:val="List"/>
            </w:pPr>
            <w:r w:rsidRPr="004C2127">
              <w:t>6.1. Balance broader policy directives with organisational needs and demands.</w:t>
            </w:r>
          </w:p>
          <w:p w:rsidR="00000000" w:rsidP="004C2127">
            <w:pPr>
              <w:pStyle w:val="List"/>
              <w:rPr>
                <w:lang w:val="en-NZ"/>
              </w:rPr>
            </w:pPr>
            <w:r w:rsidRPr="004C2127">
              <w:t xml:space="preserve">6.2. </w:t>
            </w:r>
            <w:r w:rsidRPr="004C2127">
              <w:t>Authorise any exemptions to established policy after full consideration of impact on the organisation, legal ramifications and reasons for exemption.</w:t>
            </w:r>
          </w:p>
        </w:tc>
      </w:tr>
      <w:tr w:rsidTr="004C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27">
            <w:pPr>
              <w:pStyle w:val="List"/>
              <w:rPr>
                <w:lang w:val="en-NZ"/>
              </w:rPr>
            </w:pPr>
            <w:r w:rsidRPr="004C2127">
              <w:t>7.  Build links at policy level with other organisations and policy makers.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27" w:rsidP="004C2127">
            <w:pPr>
              <w:pStyle w:val="List"/>
            </w:pPr>
            <w:r w:rsidRPr="004C2127">
              <w:t>7.1. Use opportunities to lia</w:t>
            </w:r>
            <w:r w:rsidRPr="004C2127">
              <w:t>ise with other investigation managers to extend own knowledge and improve links within the profession.</w:t>
            </w:r>
          </w:p>
          <w:p w:rsidR="00000000" w:rsidRPr="004C2127" w:rsidP="004C2127">
            <w:pPr>
              <w:pStyle w:val="List"/>
            </w:pPr>
            <w:r w:rsidRPr="004C2127">
              <w:t>7.2. Encourage staff to build relationships with peers in other organisations.</w:t>
            </w:r>
          </w:p>
          <w:p w:rsidR="00000000" w:rsidRPr="004C2127" w:rsidP="004C2127">
            <w:pPr>
              <w:pStyle w:val="List"/>
            </w:pPr>
            <w:r w:rsidRPr="004C2127">
              <w:t>7.3. Promote the organisation and the investigations profession with polic</w:t>
            </w:r>
            <w:r w:rsidRPr="004C2127">
              <w:t>y makers and the public.</w:t>
            </w:r>
          </w:p>
          <w:p w:rsidR="00000000" w:rsidRPr="004C2127" w:rsidP="004C2127">
            <w:pPr>
              <w:pStyle w:val="List"/>
            </w:pPr>
            <w:r w:rsidRPr="004C2127">
              <w:t>7.4. Establish and maintain relationships with other key law enforcement agencies and standards setting organisations.</w:t>
            </w:r>
          </w:p>
          <w:p w:rsidR="00000000" w:rsidRPr="004C2127" w:rsidP="004C2127">
            <w:pPr>
              <w:pStyle w:val="List"/>
            </w:pPr>
            <w:r w:rsidRPr="004C2127">
              <w:t>7.5. Establish and maintain relationships with other relevant stakeholders.</w:t>
            </w:r>
          </w:p>
        </w:tc>
      </w:tr>
    </w:tbl>
    <w:p w:rsidR="00AE3718" w:rsidP="004C2127">
      <w:pPr>
        <w:pStyle w:val="List"/>
      </w:pPr>
    </w:p>
    <w:p w:rsidR="00AE3718" w:rsidP="004C2127">
      <w:pPr>
        <w:pStyle w:val="List"/>
      </w:pPr>
    </w:p>
    <w:p w:rsidR="00000000" w:rsidRPr="004C2127" w:rsidP="004C2127">
      <w:pPr>
        <w:pStyle w:val="Heading1"/>
      </w:pPr>
      <w:bookmarkStart w:id="6" w:name="O_1217174"/>
      <w:bookmarkEnd w:id="6"/>
      <w:r w:rsidRPr="004C2127">
        <w:t>Foundation Skills</w:t>
      </w:r>
    </w:p>
    <w:p w:rsidR="00000000" w:rsidRPr="004C2127" w:rsidP="00AE3718">
      <w:pPr>
        <w:pStyle w:val="BodyText"/>
      </w:pPr>
      <w:r w:rsidRPr="004C2127">
        <w:t>Foundation skills essential to performance are explicit in the performance criteria of this unit of competency.</w:t>
      </w:r>
    </w:p>
    <w:p w:rsidR="00000000" w:rsidRPr="004C2127" w:rsidP="004C2127">
      <w:pPr>
        <w:pStyle w:val="Heading1"/>
      </w:pPr>
      <w:bookmarkStart w:id="7" w:name="O_1217176"/>
      <w:bookmarkEnd w:id="7"/>
      <w:r w:rsidRPr="004C2127">
        <w:t>Unit Mapping Information</w:t>
      </w:r>
    </w:p>
    <w:p w:rsidR="00000000" w:rsidRPr="004C2127" w:rsidP="00AE3718">
      <w:pPr>
        <w:pStyle w:val="BodyText"/>
      </w:pPr>
      <w:r w:rsidRPr="004C2127">
        <w:t>Supersedes and is not equivalent to PSPREG030 Manage investigations program.</w:t>
      </w:r>
    </w:p>
    <w:p w:rsidR="00000000" w:rsidRPr="004C2127" w:rsidP="004C2127">
      <w:pPr>
        <w:pStyle w:val="Heading1"/>
      </w:pPr>
      <w:bookmarkStart w:id="8" w:name="O_1217183"/>
      <w:bookmarkEnd w:id="8"/>
      <w:r w:rsidRPr="004C2127">
        <w:t>Links</w:t>
      </w:r>
    </w:p>
    <w:p w:rsidR="00000000" w:rsidRPr="004C2127" w:rsidP="00AE3718">
      <w:pPr>
        <w:pStyle w:val="BodyText"/>
      </w:pPr>
      <w:r w:rsidRPr="004C21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2EE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C2127" w:rsidP="004C2127"/>
    <w:sectPr w:rsidSect="004C21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27" w:rsidRPr="00AE3718" w:rsidP="00AE3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18" w:rsidP="004C2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718" w:rsidP="004C2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3718" w:rsidP="004C2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127" w:rsidRPr="00AE3718" w:rsidP="00AE3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18" w:rsidRPr="002D2AF8" w:rsidP="004C2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PSPREG049 Manage investigations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E3718" w:rsidP="004C2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127"/>
  </w:style>
  <w:style w:type="character" w:customStyle="1" w:styleId="Heading1Char">
    <w:name w:val="Heading 1 Char"/>
    <w:basedOn w:val="DefaultParagraphFont"/>
    <w:link w:val="Heading1"/>
    <w:rsid w:val="004C2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1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212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C2127"/>
    <w:rPr>
      <w:b/>
      <w:spacing w:val="0"/>
    </w:rPr>
  </w:style>
  <w:style w:type="character" w:styleId="Emphasis">
    <w:name w:val="Emphasis"/>
    <w:basedOn w:val="DefaultParagraphFont"/>
    <w:qFormat/>
    <w:rsid w:val="004C2127"/>
    <w:rPr>
      <w:i/>
    </w:rPr>
  </w:style>
  <w:style w:type="paragraph" w:customStyle="1" w:styleId="SuperHeading">
    <w:name w:val="SuperHeading"/>
    <w:basedOn w:val="Normal"/>
    <w:rsid w:val="004C2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12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C21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2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1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1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127"/>
  </w:style>
  <w:style w:type="paragraph" w:styleId="TableofFigures">
    <w:name w:val="table of figures"/>
    <w:basedOn w:val="Normal"/>
    <w:next w:val="Normal"/>
    <w:semiHidden/>
    <w:rsid w:val="004C2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1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2127"/>
    <w:rPr>
      <w:rFonts w:ascii="Wingdings" w:hAnsi="Wingdings"/>
    </w:rPr>
  </w:style>
  <w:style w:type="paragraph" w:customStyle="1" w:styleId="TableHeading">
    <w:name w:val="Table Heading"/>
    <w:basedOn w:val="HeadingBase"/>
    <w:rsid w:val="004C2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127"/>
    <w:rPr>
      <w:color w:val="0033CC"/>
      <w:u w:val="none"/>
    </w:rPr>
  </w:style>
  <w:style w:type="paragraph" w:customStyle="1" w:styleId="BodyTextRight">
    <w:name w:val="Body Text Right"/>
    <w:basedOn w:val="BodyText"/>
    <w:rsid w:val="004C2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1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127"/>
    <w:rPr>
      <w:sz w:val="32"/>
    </w:rPr>
  </w:style>
  <w:style w:type="paragraph" w:customStyle="1" w:styleId="HeadingProcedure">
    <w:name w:val="Heading Procedure"/>
    <w:basedOn w:val="HeadingBase"/>
    <w:next w:val="Normal"/>
    <w:rsid w:val="004C2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127"/>
    <w:pPr>
      <w:spacing w:before="60" w:after="60"/>
    </w:pPr>
  </w:style>
  <w:style w:type="paragraph" w:styleId="ListContinue">
    <w:name w:val="List Continue"/>
    <w:basedOn w:val="List"/>
    <w:rsid w:val="004C2127"/>
    <w:pPr>
      <w:ind w:firstLine="0"/>
    </w:pPr>
  </w:style>
  <w:style w:type="paragraph" w:customStyle="1" w:styleId="ListNote">
    <w:name w:val="List Note"/>
    <w:basedOn w:val="List"/>
    <w:rsid w:val="004C2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127"/>
    <w:rPr>
      <w:rFonts w:ascii="Courier New" w:hAnsi="Courier New"/>
    </w:rPr>
  </w:style>
  <w:style w:type="paragraph" w:customStyle="1" w:styleId="NoteBullet">
    <w:name w:val="Note Bullet"/>
    <w:basedOn w:val="Note"/>
    <w:rsid w:val="004C2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1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2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127"/>
    <w:rPr>
      <w:b/>
      <w:smallCaps/>
    </w:rPr>
  </w:style>
  <w:style w:type="paragraph" w:customStyle="1" w:styleId="TableListNumber">
    <w:name w:val="Table List Number"/>
    <w:basedOn w:val="ListNumber"/>
    <w:rsid w:val="004C2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127"/>
    <w:pPr>
      <w:numPr>
        <w:numId w:val="7"/>
      </w:numPr>
    </w:pPr>
  </w:style>
  <w:style w:type="paragraph" w:customStyle="1" w:styleId="ListAlpha2">
    <w:name w:val="List Alpha 2"/>
    <w:basedOn w:val="List2"/>
    <w:rsid w:val="004C2127"/>
    <w:pPr>
      <w:numPr>
        <w:numId w:val="6"/>
      </w:numPr>
    </w:pPr>
  </w:style>
  <w:style w:type="paragraph" w:styleId="List2">
    <w:name w:val="List 2"/>
    <w:basedOn w:val="BodyText"/>
    <w:rsid w:val="004C2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1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1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2127"/>
    <w:pPr>
      <w:numPr>
        <w:numId w:val="2"/>
      </w:numPr>
    </w:pPr>
  </w:style>
  <w:style w:type="paragraph" w:styleId="ListContinue2">
    <w:name w:val="List Continue 2"/>
    <w:basedOn w:val="List2"/>
    <w:rsid w:val="004C2127"/>
    <w:pPr>
      <w:ind w:firstLine="0"/>
    </w:pPr>
  </w:style>
  <w:style w:type="paragraph" w:styleId="ListContinue3">
    <w:name w:val="List Continue 3"/>
    <w:basedOn w:val="List3"/>
    <w:rsid w:val="004C2127"/>
    <w:pPr>
      <w:ind w:left="1021" w:firstLine="0"/>
    </w:pPr>
  </w:style>
  <w:style w:type="paragraph" w:styleId="ListContinue4">
    <w:name w:val="List Continue 4"/>
    <w:basedOn w:val="List4"/>
    <w:rsid w:val="004C2127"/>
    <w:pPr>
      <w:ind w:firstLine="0"/>
    </w:pPr>
  </w:style>
  <w:style w:type="paragraph" w:styleId="ListContinue5">
    <w:name w:val="List Continue 5"/>
    <w:basedOn w:val="List5"/>
    <w:rsid w:val="004C2127"/>
    <w:pPr>
      <w:ind w:firstLine="0"/>
    </w:pPr>
  </w:style>
  <w:style w:type="paragraph" w:styleId="ListNumber3">
    <w:name w:val="List Number 3"/>
    <w:basedOn w:val="List3"/>
    <w:rsid w:val="004C2127"/>
    <w:pPr>
      <w:numPr>
        <w:numId w:val="3"/>
      </w:numPr>
    </w:pPr>
  </w:style>
  <w:style w:type="paragraph" w:styleId="ListNumber4">
    <w:name w:val="List Number 4"/>
    <w:basedOn w:val="List4"/>
    <w:rsid w:val="004C2127"/>
    <w:pPr>
      <w:numPr>
        <w:numId w:val="4"/>
      </w:numPr>
    </w:pPr>
  </w:style>
  <w:style w:type="paragraph" w:styleId="ListNumber5">
    <w:name w:val="List Number 5"/>
    <w:basedOn w:val="List5"/>
    <w:rsid w:val="004C2127"/>
    <w:pPr>
      <w:numPr>
        <w:numId w:val="5"/>
      </w:numPr>
    </w:pPr>
  </w:style>
  <w:style w:type="paragraph" w:styleId="BlockText">
    <w:name w:val="Block Text"/>
    <w:basedOn w:val="Normal"/>
    <w:rsid w:val="004C2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127"/>
    <w:rPr>
      <w:sz w:val="16"/>
      <w:vertAlign w:val="superscript"/>
    </w:rPr>
  </w:style>
  <w:style w:type="character" w:customStyle="1" w:styleId="Symbols">
    <w:name w:val="Symbols"/>
    <w:basedOn w:val="DefaultParagraphFont"/>
    <w:rsid w:val="004C2127"/>
    <w:rPr>
      <w:rFonts w:ascii="Symbol" w:hAnsi="Symbol"/>
    </w:rPr>
  </w:style>
  <w:style w:type="character" w:customStyle="1" w:styleId="MenuOptions">
    <w:name w:val="Menu Options"/>
    <w:basedOn w:val="DefaultParagraphFont"/>
    <w:rsid w:val="004C2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127"/>
    <w:rPr>
      <w:b/>
    </w:rPr>
  </w:style>
  <w:style w:type="character" w:customStyle="1" w:styleId="Underlined">
    <w:name w:val="Underlined"/>
    <w:basedOn w:val="DefaultParagraphFont"/>
    <w:rsid w:val="004C2127"/>
    <w:rPr>
      <w:u w:val="single"/>
    </w:rPr>
  </w:style>
  <w:style w:type="paragraph" w:customStyle="1" w:styleId="TableBodyTextRight">
    <w:name w:val="Table Body Text Right"/>
    <w:basedOn w:val="TableBodyText"/>
    <w:rsid w:val="004C2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127"/>
    <w:rPr>
      <w:sz w:val="18"/>
    </w:rPr>
  </w:style>
  <w:style w:type="paragraph" w:customStyle="1" w:styleId="BodySmallRight">
    <w:name w:val="Body Small Right"/>
    <w:basedOn w:val="BodyTextRight"/>
    <w:rsid w:val="004C2127"/>
    <w:rPr>
      <w:sz w:val="18"/>
      <w:szCs w:val="18"/>
    </w:rPr>
  </w:style>
  <w:style w:type="paragraph" w:customStyle="1" w:styleId="MarginEdition">
    <w:name w:val="Margin Edition"/>
    <w:basedOn w:val="MarginNote"/>
    <w:rsid w:val="004C2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127"/>
    <w:rPr>
      <w:sz w:val="2"/>
      <w:szCs w:val="2"/>
    </w:rPr>
  </w:style>
  <w:style w:type="character" w:customStyle="1" w:styleId="Small">
    <w:name w:val="Small"/>
    <w:basedOn w:val="DefaultParagraphFont"/>
    <w:rsid w:val="004C2127"/>
    <w:rPr>
      <w:sz w:val="16"/>
    </w:rPr>
  </w:style>
  <w:style w:type="paragraph" w:customStyle="1" w:styleId="WideTable">
    <w:name w:val="Wide Table"/>
    <w:basedOn w:val="Normal"/>
    <w:rsid w:val="004C2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127"/>
  </w:style>
  <w:style w:type="paragraph" w:styleId="Quote">
    <w:name w:val="Quote"/>
    <w:basedOn w:val="Heading1"/>
    <w:link w:val="QuoteChar"/>
    <w:qFormat/>
    <w:rsid w:val="004C2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127"/>
    <w:pPr>
      <w:pageBreakBefore/>
    </w:pPr>
  </w:style>
  <w:style w:type="paragraph" w:customStyle="1" w:styleId="Border">
    <w:name w:val="Border"/>
    <w:basedOn w:val="Normal"/>
    <w:qFormat/>
    <w:rsid w:val="004C2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127"/>
    <w:rPr>
      <w:u w:val="single"/>
    </w:rPr>
  </w:style>
  <w:style w:type="character" w:customStyle="1" w:styleId="BoldandItalics">
    <w:name w:val="Bold and Italics"/>
    <w:qFormat/>
    <w:rsid w:val="004C2127"/>
    <w:rPr>
      <w:b/>
      <w:i/>
      <w:u w:val="none"/>
    </w:rPr>
  </w:style>
  <w:style w:type="paragraph" w:styleId="BalloonText">
    <w:name w:val="Balloon Text"/>
    <w:basedOn w:val="Normal"/>
    <w:link w:val="BalloonTextChar"/>
    <w:rsid w:val="004C2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127"/>
    <w:pPr>
      <w:spacing w:before="0" w:after="0"/>
    </w:pPr>
  </w:style>
  <w:style w:type="paragraph" w:customStyle="1" w:styleId="BodyTextBold">
    <w:name w:val="Body Text Bold"/>
    <w:basedOn w:val="BodyText"/>
    <w:qFormat/>
    <w:rsid w:val="004C2127"/>
    <w:rPr>
      <w:b/>
    </w:rPr>
  </w:style>
  <w:style w:type="character" w:styleId="Hyperlink">
    <w:name w:val="Hyperlink"/>
    <w:basedOn w:val="DefaultParagraphFont"/>
    <w:uiPriority w:val="99"/>
    <w:unhideWhenUsed/>
    <w:rsid w:val="00AE3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4283</Characters>
  <Application>Microsoft Office Word</Application>
  <DocSecurity>0</DocSecurity>
  <Lines>129</Lines>
  <Paragraphs>69</Paragraphs>
  <ScaleCrop>false</ScaleCrop>
  <Company>Author-it Software Corporation Ltd.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PSPREG049 Manage investigations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