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7F1" w:rsidP="00625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PSPREG048 Evaluate regulatory compliance</w:t>
      </w:r>
      <w:r>
        <w:fldChar w:fldCharType="end"/>
      </w:r>
    </w:p>
    <w:p w:rsidR="006257F1" w:rsidP="006257F1">
      <w:pPr>
        <w:pStyle w:val="Version"/>
        <w:sectPr w:rsidSect="002F3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1EF" w:rsidP="002F31EF">
      <w:pPr>
        <w:pStyle w:val="SuperHeading"/>
      </w:pPr>
      <w:r w:rsidRPr="002F31EF">
        <w:t>PSPREG048 Evaluate regulatory compliance</w:t>
      </w:r>
    </w:p>
    <w:p w:rsidR="00000000" w:rsidRPr="002F31EF" w:rsidP="002F31EF">
      <w:pPr>
        <w:pStyle w:val="Heading1"/>
      </w:pPr>
      <w:bookmarkStart w:id="1" w:name="O_1217149"/>
      <w:bookmarkEnd w:id="1"/>
      <w:r w:rsidRPr="002F31EF">
        <w:t>Modification History</w:t>
      </w:r>
    </w:p>
    <w:p w:rsidR="00000000" w:rsidRPr="002F31EF" w:rsidP="006257F1">
      <w:pPr>
        <w:pStyle w:val="BodyText"/>
      </w:pPr>
      <w:r w:rsidRPr="002F31EF">
        <w:t xml:space="preserve">Supersedes and is not equivalent to PSPREG028 Evaluate regulatory compliance. </w:t>
      </w:r>
    </w:p>
    <w:p w:rsidR="00000000" w:rsidRPr="002F31EF" w:rsidP="002F31EF">
      <w:pPr>
        <w:pStyle w:val="Heading1"/>
      </w:pPr>
      <w:bookmarkStart w:id="2" w:name="O_1217150"/>
      <w:bookmarkEnd w:id="2"/>
      <w:r w:rsidRPr="002F31EF">
        <w:t>Application</w:t>
      </w:r>
    </w:p>
    <w:p w:rsidR="00000000" w:rsidRPr="002F31EF" w:rsidP="006257F1">
      <w:pPr>
        <w:pStyle w:val="BodyText"/>
      </w:pPr>
      <w:r w:rsidRPr="002F31EF">
        <w:t>This unit describes the performance outcomes, skills and knowledge required to evaluate compliance outcomes, and review regul</w:t>
      </w:r>
      <w:r w:rsidRPr="002F31EF">
        <w:t xml:space="preserve">atory policies, procedures and legislation to improve compliance outcomes. </w:t>
      </w:r>
    </w:p>
    <w:p w:rsidR="00000000" w:rsidRPr="002F31EF" w:rsidP="006257F1">
      <w:pPr>
        <w:pStyle w:val="BodyText"/>
      </w:pPr>
      <w:r w:rsidRPr="002F31EF">
        <w:t xml:space="preserve">This unit applies to those working in management roles with responsibility for regulatory officers who enforce and promote compliance with the organisation’s enabling legislation. </w:t>
      </w:r>
    </w:p>
    <w:p w:rsidR="00000000" w:rsidRPr="002F31EF" w:rsidP="006257F1">
      <w:pPr>
        <w:pStyle w:val="BodyText"/>
      </w:pPr>
      <w:r w:rsidRPr="002F31EF">
        <w:t>The skills in this unit must be applied in accordance with Commonwealth and State or Territory legislation, Australian standards and industry codes of practice.</w:t>
      </w:r>
    </w:p>
    <w:p w:rsidR="00000000" w:rsidRPr="002F31EF" w:rsidP="006257F1">
      <w:pPr>
        <w:pStyle w:val="BodyText"/>
      </w:pPr>
      <w:r w:rsidRPr="002F31EF">
        <w:t>No occupational licensing, certification or specific legislative requirements apply to this un</w:t>
      </w:r>
      <w:r w:rsidRPr="002F31EF">
        <w:t>it at the time of publication.</w:t>
      </w:r>
    </w:p>
    <w:p w:rsidR="00000000" w:rsidRPr="002F31EF" w:rsidP="002F31EF">
      <w:pPr>
        <w:pStyle w:val="Heading1"/>
      </w:pPr>
      <w:bookmarkStart w:id="3" w:name="O_1217151"/>
      <w:bookmarkEnd w:id="3"/>
      <w:r w:rsidRPr="002F31EF">
        <w:t>Pre-requisite Unit</w:t>
      </w:r>
    </w:p>
    <w:p w:rsidR="00000000" w:rsidRPr="002F31EF" w:rsidP="006257F1">
      <w:pPr>
        <w:pStyle w:val="BodyText"/>
      </w:pPr>
      <w:r w:rsidRPr="002F31EF">
        <w:t xml:space="preserve">Nil </w:t>
      </w:r>
    </w:p>
    <w:p w:rsidR="00000000" w:rsidRPr="002F31EF" w:rsidP="002F31EF">
      <w:pPr>
        <w:pStyle w:val="Heading1"/>
      </w:pPr>
      <w:bookmarkStart w:id="4" w:name="O_1217152"/>
      <w:bookmarkEnd w:id="4"/>
      <w:r w:rsidRPr="002F31EF">
        <w:t>Competency Field</w:t>
      </w:r>
    </w:p>
    <w:p w:rsidR="00000000" w:rsidRPr="002F31EF" w:rsidP="006257F1">
      <w:pPr>
        <w:pStyle w:val="BodyText"/>
      </w:pPr>
      <w:r w:rsidRPr="002F31EF">
        <w:t>Regulatory</w:t>
      </w:r>
    </w:p>
    <w:p w:rsidR="00000000" w:rsidRPr="002F31EF" w:rsidP="002F31EF">
      <w:pPr>
        <w:pStyle w:val="Heading1"/>
      </w:pPr>
      <w:bookmarkStart w:id="5" w:name="O_1217154"/>
      <w:bookmarkEnd w:id="5"/>
      <w:r w:rsidRPr="002F31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F3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EF" w:rsidP="002F31EF">
            <w:pPr>
              <w:pStyle w:val="BodyText"/>
            </w:pPr>
            <w:r w:rsidRPr="002F31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EF">
            <w:pPr>
              <w:pStyle w:val="BodyText"/>
              <w:rPr>
                <w:lang w:val="en-NZ"/>
              </w:rPr>
            </w:pPr>
            <w:r w:rsidRPr="002F31EF">
              <w:rPr>
                <w:rStyle w:val="SpecialBold"/>
              </w:rPr>
              <w:t>PERFORMANCE</w:t>
            </w:r>
            <w:r w:rsidRPr="002F31EF">
              <w:t xml:space="preserve"> </w:t>
            </w:r>
            <w:r w:rsidRPr="002F31EF">
              <w:rPr>
                <w:rStyle w:val="SpecialBold"/>
              </w:rPr>
              <w:t>CRITERIA</w:t>
            </w:r>
          </w:p>
        </w:tc>
      </w:tr>
      <w:tr w:rsidTr="002F3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EF" w:rsidP="002F31EF">
            <w:pPr>
              <w:pStyle w:val="BodyText"/>
            </w:pPr>
            <w:r w:rsidRPr="002F31E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EF">
            <w:pPr>
              <w:pStyle w:val="BodyText"/>
              <w:rPr>
                <w:lang w:val="en-NZ"/>
              </w:rPr>
            </w:pPr>
            <w:r w:rsidRPr="002F31EF">
              <w:rPr>
                <w:rStyle w:val="Emphasis"/>
              </w:rPr>
              <w:t>Performanc</w:t>
            </w:r>
            <w:r w:rsidRPr="002F31EF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2F3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EF">
            <w:pPr>
              <w:pStyle w:val="List"/>
              <w:rPr>
                <w:lang w:val="en-NZ"/>
              </w:rPr>
            </w:pPr>
            <w:r w:rsidRPr="002F31EF">
              <w:t>1.  Develop compliance measures and targets.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EF" w:rsidP="002F31EF">
            <w:pPr>
              <w:pStyle w:val="List"/>
            </w:pPr>
            <w:r w:rsidRPr="002F31EF">
              <w:t>1.1. Develop compliance measures that are valid, reliable, sufficient and both time and cost effective.</w:t>
            </w:r>
          </w:p>
          <w:p w:rsidR="00000000" w:rsidP="002F31EF">
            <w:pPr>
              <w:pStyle w:val="List"/>
              <w:rPr>
                <w:lang w:val="en-NZ"/>
              </w:rPr>
            </w:pPr>
            <w:r w:rsidRPr="002F31EF">
              <w:t>1.2. Develop realistic measures and targets underpinned by current information.</w:t>
            </w:r>
          </w:p>
        </w:tc>
      </w:tr>
      <w:tr w:rsidTr="002F3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EF">
            <w:pPr>
              <w:pStyle w:val="List"/>
              <w:rPr>
                <w:lang w:val="en-NZ"/>
              </w:rPr>
            </w:pPr>
            <w:r w:rsidRPr="002F31EF">
              <w:t>2.  Evaluate extent of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EF" w:rsidP="002F31EF">
            <w:pPr>
              <w:pStyle w:val="List"/>
            </w:pPr>
            <w:r w:rsidRPr="002F31EF">
              <w:t>2.1. Ensure analysis of compliance data is valid and conclusions are unbiased and supported by evidence.</w:t>
            </w:r>
          </w:p>
          <w:p w:rsidR="00000000" w:rsidRPr="002F31EF" w:rsidP="002F31EF">
            <w:pPr>
              <w:pStyle w:val="List"/>
            </w:pPr>
            <w:r w:rsidRPr="002F31EF">
              <w:t>2.2. Ensure interpretation of compa</w:t>
            </w:r>
            <w:r w:rsidRPr="002F31EF">
              <w:t>rative data over time is valid and reliable and record outcomes.</w:t>
            </w:r>
          </w:p>
          <w:p w:rsidR="00000000" w:rsidP="002F31EF">
            <w:pPr>
              <w:pStyle w:val="List"/>
              <w:rPr>
                <w:lang w:val="en-NZ"/>
              </w:rPr>
            </w:pPr>
            <w:r w:rsidRPr="002F31EF">
              <w:t>2.3. Report compliance outcomes.</w:t>
            </w:r>
          </w:p>
        </w:tc>
      </w:tr>
      <w:tr w:rsidTr="002F3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EF">
            <w:pPr>
              <w:pStyle w:val="List"/>
              <w:rPr>
                <w:lang w:val="en-NZ"/>
              </w:rPr>
            </w:pPr>
            <w:r w:rsidRPr="002F31EF">
              <w:t>3.  Review procedures and guidelines to improve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EF" w:rsidP="002F31EF">
            <w:pPr>
              <w:pStyle w:val="List"/>
            </w:pPr>
            <w:r w:rsidRPr="002F31EF">
              <w:t>3.1. Draw upon sources of information representing the breadth of possible stakeholders to ensure review is comprehensive.</w:t>
            </w:r>
          </w:p>
          <w:p w:rsidR="00000000" w:rsidRPr="002F31EF" w:rsidP="002F31EF">
            <w:pPr>
              <w:pStyle w:val="List"/>
            </w:pPr>
            <w:r w:rsidRPr="002F31EF">
              <w:t>3.2. Identify possible reasons for not meeting targets or performance indicators and make recommendations to improve long term volunt</w:t>
            </w:r>
            <w:r w:rsidRPr="002F31EF">
              <w:t>ary compliance.</w:t>
            </w:r>
          </w:p>
          <w:p w:rsidR="00000000" w:rsidP="002F31EF">
            <w:pPr>
              <w:pStyle w:val="List"/>
              <w:rPr>
                <w:lang w:val="en-NZ"/>
              </w:rPr>
            </w:pPr>
            <w:r w:rsidRPr="002F31EF">
              <w:t>3.3. Adjust strategies and plans to address review recommendations in accordance with resource constraints.</w:t>
            </w:r>
          </w:p>
        </w:tc>
      </w:tr>
      <w:tr w:rsidTr="002F3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EF">
            <w:pPr>
              <w:pStyle w:val="List"/>
              <w:rPr>
                <w:lang w:val="en-NZ"/>
              </w:rPr>
            </w:pPr>
            <w:r w:rsidRPr="002F31EF">
              <w:t>4.  Contribute to the development of new legislation or review of existing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EF" w:rsidP="002F31EF">
            <w:pPr>
              <w:pStyle w:val="List"/>
            </w:pPr>
            <w:r w:rsidRPr="002F31EF">
              <w:t>4.1. Provide input that supports government</w:t>
            </w:r>
            <w:r w:rsidRPr="002F31EF">
              <w:t xml:space="preserve"> policy directions and relies on current information with supporting rationale and data analysis.</w:t>
            </w:r>
          </w:p>
          <w:p w:rsidR="00000000" w:rsidRPr="002F31EF" w:rsidP="002F31EF">
            <w:pPr>
              <w:pStyle w:val="List"/>
            </w:pPr>
            <w:r w:rsidRPr="002F31EF">
              <w:t>4.2. Report resource implications of legislative recommendations within government policy requirements.</w:t>
            </w:r>
          </w:p>
        </w:tc>
      </w:tr>
    </w:tbl>
    <w:p w:rsidR="00000000" w:rsidRPr="002F31EF" w:rsidP="002F31EF">
      <w:pPr>
        <w:pStyle w:val="BodyText"/>
      </w:pPr>
    </w:p>
    <w:p w:rsidR="00000000" w:rsidRPr="002F31EF" w:rsidP="002F31EF">
      <w:pPr>
        <w:pStyle w:val="AllowPageBreak"/>
      </w:pPr>
    </w:p>
    <w:p w:rsidR="00000000" w:rsidRPr="002F31EF" w:rsidP="002F31EF">
      <w:pPr>
        <w:pStyle w:val="Heading1"/>
      </w:pPr>
      <w:bookmarkStart w:id="6" w:name="O_1217155"/>
      <w:bookmarkEnd w:id="6"/>
      <w:r w:rsidRPr="002F31EF">
        <w:t>Foundation Skills</w:t>
      </w:r>
    </w:p>
    <w:p w:rsidR="00000000" w:rsidRPr="002F31EF" w:rsidP="006257F1">
      <w:pPr>
        <w:pStyle w:val="BodyText"/>
      </w:pPr>
      <w:r w:rsidRPr="002F31EF">
        <w:t>Foundation skills essential to performance are explicit in the performance criteria of this unit of competency.</w:t>
      </w:r>
    </w:p>
    <w:p w:rsidR="00000000" w:rsidRPr="002F31EF" w:rsidP="002F31EF">
      <w:pPr>
        <w:pStyle w:val="Heading1"/>
      </w:pPr>
      <w:bookmarkStart w:id="7" w:name="O_1217157"/>
      <w:bookmarkEnd w:id="7"/>
      <w:r w:rsidRPr="002F31EF">
        <w:t>Unit Mapping Information</w:t>
      </w:r>
    </w:p>
    <w:p w:rsidR="00000000" w:rsidRPr="002F31EF" w:rsidP="006257F1">
      <w:pPr>
        <w:pStyle w:val="BodyText"/>
      </w:pPr>
      <w:r w:rsidRPr="002F31EF">
        <w:t xml:space="preserve">Supersedes and is not equivalent to PSPREG028 Evaluate regulatory compliance. </w:t>
      </w:r>
    </w:p>
    <w:p w:rsidR="00000000" w:rsidRPr="002F31EF" w:rsidP="002F31EF">
      <w:pPr>
        <w:pStyle w:val="Heading1"/>
      </w:pPr>
      <w:bookmarkStart w:id="8" w:name="O_1217164"/>
      <w:bookmarkEnd w:id="8"/>
      <w:r w:rsidRPr="002F31EF">
        <w:t>Li</w:t>
      </w:r>
      <w:r w:rsidRPr="002F31EF">
        <w:t>nks</w:t>
      </w:r>
    </w:p>
    <w:p w:rsidR="00000000" w:rsidRPr="002F31EF" w:rsidP="006257F1">
      <w:pPr>
        <w:pStyle w:val="BodyText"/>
      </w:pPr>
      <w:r w:rsidRPr="002F31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57E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31EF" w:rsidP="002F31EF"/>
    <w:sectPr w:rsidSect="002F31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EF" w:rsidRPr="006257F1" w:rsidP="00625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F1" w:rsidP="002F3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7F1" w:rsidP="002F3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57F1" w:rsidP="002F3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1EF" w:rsidRPr="006257F1" w:rsidP="00625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7F1" w:rsidRPr="002D2AF8" w:rsidP="002F3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PSPREG048 Evaluate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257F1" w:rsidP="002F3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1EF"/>
  </w:style>
  <w:style w:type="character" w:customStyle="1" w:styleId="Heading1Char">
    <w:name w:val="Heading 1 Char"/>
    <w:basedOn w:val="DefaultParagraphFont"/>
    <w:link w:val="Heading1"/>
    <w:rsid w:val="002F3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1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1E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F31EF"/>
    <w:rPr>
      <w:b/>
      <w:spacing w:val="0"/>
    </w:rPr>
  </w:style>
  <w:style w:type="character" w:styleId="Emphasis">
    <w:name w:val="Emphasis"/>
    <w:basedOn w:val="DefaultParagraphFont"/>
    <w:qFormat/>
    <w:rsid w:val="002F31EF"/>
    <w:rPr>
      <w:i/>
    </w:rPr>
  </w:style>
  <w:style w:type="paragraph" w:customStyle="1" w:styleId="SuperHeading">
    <w:name w:val="SuperHeading"/>
    <w:basedOn w:val="Normal"/>
    <w:rsid w:val="002F3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1E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F31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1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1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1EF"/>
  </w:style>
  <w:style w:type="paragraph" w:styleId="TableofFigures">
    <w:name w:val="table of figures"/>
    <w:basedOn w:val="Normal"/>
    <w:next w:val="Normal"/>
    <w:semiHidden/>
    <w:rsid w:val="002F3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1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1EF"/>
    <w:rPr>
      <w:rFonts w:ascii="Wingdings" w:hAnsi="Wingdings"/>
    </w:rPr>
  </w:style>
  <w:style w:type="paragraph" w:customStyle="1" w:styleId="TableHeading">
    <w:name w:val="Table Heading"/>
    <w:basedOn w:val="HeadingBase"/>
    <w:rsid w:val="002F3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1EF"/>
    <w:rPr>
      <w:color w:val="0033CC"/>
      <w:u w:val="none"/>
    </w:rPr>
  </w:style>
  <w:style w:type="paragraph" w:customStyle="1" w:styleId="BodyTextRight">
    <w:name w:val="Body Text Right"/>
    <w:basedOn w:val="BodyText"/>
    <w:rsid w:val="002F3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1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1EF"/>
    <w:rPr>
      <w:sz w:val="32"/>
    </w:rPr>
  </w:style>
  <w:style w:type="paragraph" w:customStyle="1" w:styleId="HeadingProcedure">
    <w:name w:val="Heading Procedure"/>
    <w:basedOn w:val="HeadingBase"/>
    <w:next w:val="Normal"/>
    <w:rsid w:val="002F3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1EF"/>
    <w:pPr>
      <w:spacing w:before="60" w:after="60"/>
    </w:pPr>
  </w:style>
  <w:style w:type="paragraph" w:styleId="ListContinue">
    <w:name w:val="List Continue"/>
    <w:basedOn w:val="List"/>
    <w:rsid w:val="002F31EF"/>
    <w:pPr>
      <w:ind w:firstLine="0"/>
    </w:pPr>
  </w:style>
  <w:style w:type="paragraph" w:customStyle="1" w:styleId="ListNote">
    <w:name w:val="List Note"/>
    <w:basedOn w:val="List"/>
    <w:rsid w:val="002F3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1EF"/>
    <w:rPr>
      <w:rFonts w:ascii="Courier New" w:hAnsi="Courier New"/>
    </w:rPr>
  </w:style>
  <w:style w:type="paragraph" w:customStyle="1" w:styleId="NoteBullet">
    <w:name w:val="Note Bullet"/>
    <w:basedOn w:val="Note"/>
    <w:rsid w:val="002F3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1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1EF"/>
    <w:rPr>
      <w:b/>
      <w:smallCaps/>
    </w:rPr>
  </w:style>
  <w:style w:type="paragraph" w:customStyle="1" w:styleId="TableListNumber">
    <w:name w:val="Table List Number"/>
    <w:basedOn w:val="ListNumber"/>
    <w:rsid w:val="002F3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1EF"/>
    <w:pPr>
      <w:numPr>
        <w:numId w:val="7"/>
      </w:numPr>
    </w:pPr>
  </w:style>
  <w:style w:type="paragraph" w:customStyle="1" w:styleId="ListAlpha2">
    <w:name w:val="List Alpha 2"/>
    <w:basedOn w:val="List2"/>
    <w:rsid w:val="002F31EF"/>
    <w:pPr>
      <w:numPr>
        <w:numId w:val="6"/>
      </w:numPr>
    </w:pPr>
  </w:style>
  <w:style w:type="paragraph" w:styleId="List2">
    <w:name w:val="List 2"/>
    <w:basedOn w:val="BodyText"/>
    <w:rsid w:val="002F3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1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1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1EF"/>
    <w:pPr>
      <w:numPr>
        <w:numId w:val="2"/>
      </w:numPr>
    </w:pPr>
  </w:style>
  <w:style w:type="paragraph" w:styleId="ListContinue2">
    <w:name w:val="List Continue 2"/>
    <w:basedOn w:val="List2"/>
    <w:rsid w:val="002F31EF"/>
    <w:pPr>
      <w:ind w:firstLine="0"/>
    </w:pPr>
  </w:style>
  <w:style w:type="paragraph" w:styleId="ListContinue3">
    <w:name w:val="List Continue 3"/>
    <w:basedOn w:val="List3"/>
    <w:rsid w:val="002F31EF"/>
    <w:pPr>
      <w:ind w:left="1021" w:firstLine="0"/>
    </w:pPr>
  </w:style>
  <w:style w:type="paragraph" w:styleId="ListContinue4">
    <w:name w:val="List Continue 4"/>
    <w:basedOn w:val="List4"/>
    <w:rsid w:val="002F31EF"/>
    <w:pPr>
      <w:ind w:firstLine="0"/>
    </w:pPr>
  </w:style>
  <w:style w:type="paragraph" w:styleId="ListContinue5">
    <w:name w:val="List Continue 5"/>
    <w:basedOn w:val="List5"/>
    <w:rsid w:val="002F31EF"/>
    <w:pPr>
      <w:ind w:firstLine="0"/>
    </w:pPr>
  </w:style>
  <w:style w:type="paragraph" w:styleId="ListNumber3">
    <w:name w:val="List Number 3"/>
    <w:basedOn w:val="List3"/>
    <w:rsid w:val="002F31EF"/>
    <w:pPr>
      <w:numPr>
        <w:numId w:val="3"/>
      </w:numPr>
    </w:pPr>
  </w:style>
  <w:style w:type="paragraph" w:styleId="ListNumber4">
    <w:name w:val="List Number 4"/>
    <w:basedOn w:val="List4"/>
    <w:rsid w:val="002F31EF"/>
    <w:pPr>
      <w:numPr>
        <w:numId w:val="4"/>
      </w:numPr>
    </w:pPr>
  </w:style>
  <w:style w:type="paragraph" w:styleId="ListNumber5">
    <w:name w:val="List Number 5"/>
    <w:basedOn w:val="List5"/>
    <w:rsid w:val="002F31EF"/>
    <w:pPr>
      <w:numPr>
        <w:numId w:val="5"/>
      </w:numPr>
    </w:pPr>
  </w:style>
  <w:style w:type="paragraph" w:styleId="BlockText">
    <w:name w:val="Block Text"/>
    <w:basedOn w:val="Normal"/>
    <w:rsid w:val="002F3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1EF"/>
    <w:rPr>
      <w:sz w:val="16"/>
      <w:vertAlign w:val="superscript"/>
    </w:rPr>
  </w:style>
  <w:style w:type="character" w:customStyle="1" w:styleId="Symbols">
    <w:name w:val="Symbols"/>
    <w:basedOn w:val="DefaultParagraphFont"/>
    <w:rsid w:val="002F31EF"/>
    <w:rPr>
      <w:rFonts w:ascii="Symbol" w:hAnsi="Symbol"/>
    </w:rPr>
  </w:style>
  <w:style w:type="character" w:customStyle="1" w:styleId="MenuOptions">
    <w:name w:val="Menu Options"/>
    <w:basedOn w:val="DefaultParagraphFont"/>
    <w:rsid w:val="002F3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1EF"/>
    <w:rPr>
      <w:b/>
    </w:rPr>
  </w:style>
  <w:style w:type="character" w:customStyle="1" w:styleId="Underlined">
    <w:name w:val="Underlined"/>
    <w:basedOn w:val="DefaultParagraphFont"/>
    <w:rsid w:val="002F31EF"/>
    <w:rPr>
      <w:u w:val="single"/>
    </w:rPr>
  </w:style>
  <w:style w:type="paragraph" w:customStyle="1" w:styleId="TableBodyTextRight">
    <w:name w:val="Table Body Text Right"/>
    <w:basedOn w:val="TableBodyText"/>
    <w:rsid w:val="002F3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1EF"/>
    <w:rPr>
      <w:sz w:val="18"/>
    </w:rPr>
  </w:style>
  <w:style w:type="paragraph" w:customStyle="1" w:styleId="BodySmallRight">
    <w:name w:val="Body Small Right"/>
    <w:basedOn w:val="BodyTextRight"/>
    <w:rsid w:val="002F31EF"/>
    <w:rPr>
      <w:sz w:val="18"/>
      <w:szCs w:val="18"/>
    </w:rPr>
  </w:style>
  <w:style w:type="paragraph" w:customStyle="1" w:styleId="MarginEdition">
    <w:name w:val="Margin Edition"/>
    <w:basedOn w:val="MarginNote"/>
    <w:rsid w:val="002F3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1EF"/>
    <w:rPr>
      <w:sz w:val="2"/>
      <w:szCs w:val="2"/>
    </w:rPr>
  </w:style>
  <w:style w:type="character" w:customStyle="1" w:styleId="Small">
    <w:name w:val="Small"/>
    <w:basedOn w:val="DefaultParagraphFont"/>
    <w:rsid w:val="002F31EF"/>
    <w:rPr>
      <w:sz w:val="16"/>
    </w:rPr>
  </w:style>
  <w:style w:type="paragraph" w:customStyle="1" w:styleId="WideTable">
    <w:name w:val="Wide Table"/>
    <w:basedOn w:val="Normal"/>
    <w:rsid w:val="002F3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1EF"/>
  </w:style>
  <w:style w:type="paragraph" w:styleId="Quote">
    <w:name w:val="Quote"/>
    <w:basedOn w:val="Heading1"/>
    <w:link w:val="QuoteChar"/>
    <w:qFormat/>
    <w:rsid w:val="002F3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1EF"/>
    <w:pPr>
      <w:pageBreakBefore/>
    </w:pPr>
  </w:style>
  <w:style w:type="paragraph" w:customStyle="1" w:styleId="Border">
    <w:name w:val="Border"/>
    <w:basedOn w:val="Normal"/>
    <w:qFormat/>
    <w:rsid w:val="002F3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1EF"/>
    <w:rPr>
      <w:u w:val="single"/>
    </w:rPr>
  </w:style>
  <w:style w:type="character" w:customStyle="1" w:styleId="BoldandItalics">
    <w:name w:val="Bold and Italics"/>
    <w:qFormat/>
    <w:rsid w:val="002F31EF"/>
    <w:rPr>
      <w:b/>
      <w:i/>
      <w:u w:val="none"/>
    </w:rPr>
  </w:style>
  <w:style w:type="paragraph" w:styleId="BalloonText">
    <w:name w:val="Balloon Text"/>
    <w:basedOn w:val="Normal"/>
    <w:link w:val="BalloonTextChar"/>
    <w:rsid w:val="002F3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1EF"/>
    <w:pPr>
      <w:spacing w:before="0" w:after="0"/>
    </w:pPr>
  </w:style>
  <w:style w:type="paragraph" w:customStyle="1" w:styleId="BodyTextBold">
    <w:name w:val="Body Text Bold"/>
    <w:basedOn w:val="BodyText"/>
    <w:qFormat/>
    <w:rsid w:val="002F31EF"/>
    <w:rPr>
      <w:b/>
    </w:rPr>
  </w:style>
  <w:style w:type="character" w:styleId="Hyperlink">
    <w:name w:val="Hyperlink"/>
    <w:basedOn w:val="DefaultParagraphFont"/>
    <w:uiPriority w:val="99"/>
    <w:unhideWhenUsed/>
    <w:rsid w:val="00625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2584</Characters>
  <Application>Microsoft Office Word</Application>
  <DocSecurity>0</DocSecurity>
  <Lines>83</Lines>
  <Paragraphs>47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PSPREG048 Evaluate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