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57F" w:rsidP="004B0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PSPREG048 Evaluate regulatory compliance</w:t>
      </w:r>
      <w:r>
        <w:fldChar w:fldCharType="end"/>
      </w:r>
    </w:p>
    <w:p w:rsidR="004B057F" w:rsidP="004B057F">
      <w:pPr>
        <w:pStyle w:val="Version"/>
        <w:sectPr w:rsidSect="00010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366" w:rsidP="00010366">
      <w:pPr>
        <w:pStyle w:val="SuperHeading"/>
      </w:pPr>
      <w:r w:rsidRPr="00010366">
        <w:t>PSPREG048 Evaluate regulatory compliance</w:t>
      </w:r>
    </w:p>
    <w:p w:rsidR="00000000" w:rsidRPr="00010366" w:rsidP="00010366">
      <w:pPr>
        <w:pStyle w:val="Heading1"/>
      </w:pPr>
      <w:bookmarkStart w:id="1" w:name="O_1217149"/>
      <w:bookmarkEnd w:id="1"/>
      <w:r w:rsidRPr="00010366">
        <w:t>Modification History</w:t>
      </w:r>
    </w:p>
    <w:p w:rsidR="00000000" w:rsidRPr="00010366" w:rsidP="004B057F">
      <w:pPr>
        <w:pStyle w:val="BodyText"/>
      </w:pPr>
      <w:r w:rsidRPr="00010366">
        <w:t xml:space="preserve">Supersedes and is not equivalent to PSPREG028 Evaluate regulatory compliance. </w:t>
      </w:r>
    </w:p>
    <w:p w:rsidR="00000000" w:rsidRPr="00010366" w:rsidP="00010366">
      <w:pPr>
        <w:pStyle w:val="Heading1"/>
      </w:pPr>
      <w:bookmarkStart w:id="2" w:name="O_1217150"/>
      <w:bookmarkEnd w:id="2"/>
      <w:r w:rsidRPr="00010366">
        <w:t>Application</w:t>
      </w:r>
    </w:p>
    <w:p w:rsidR="00000000" w:rsidRPr="00010366" w:rsidP="004B057F">
      <w:pPr>
        <w:pStyle w:val="BodyText"/>
      </w:pPr>
      <w:r w:rsidRPr="00010366">
        <w:t>This unit describes the performance outcomes, skills and knowledge required to evaluate compliance outcomes, and review regul</w:t>
      </w:r>
      <w:r w:rsidRPr="00010366">
        <w:t xml:space="preserve">atory policies, procedures and legislation to improve compliance outcomes. </w:t>
      </w:r>
    </w:p>
    <w:p w:rsidR="00000000" w:rsidRPr="00010366" w:rsidP="004B057F">
      <w:pPr>
        <w:pStyle w:val="BodyText"/>
      </w:pPr>
      <w:r w:rsidRPr="00010366">
        <w:t xml:space="preserve">This unit applies to those working in management roles with responsibility for regulatory officers who enforce and promote compliance with the organisation’s enabling legislation. </w:t>
      </w:r>
    </w:p>
    <w:p w:rsidR="00000000" w:rsidRPr="00010366" w:rsidP="004B057F">
      <w:pPr>
        <w:pStyle w:val="BodyText"/>
      </w:pPr>
      <w:r w:rsidRPr="00010366">
        <w:t>The skills in this unit must be applied in accordance with Commonwealth and State or Territory legislation, Australian standards and industry codes of practice.</w:t>
      </w:r>
    </w:p>
    <w:p w:rsidR="00000000" w:rsidRPr="00010366" w:rsidP="004B057F">
      <w:pPr>
        <w:pStyle w:val="BodyText"/>
      </w:pPr>
      <w:r w:rsidRPr="00010366">
        <w:t>No occupational licensing, certification or specific legislative requirements apply to this un</w:t>
      </w:r>
      <w:r w:rsidRPr="00010366">
        <w:t>it at the time of publication.</w:t>
      </w:r>
    </w:p>
    <w:p w:rsidR="00000000" w:rsidRPr="00010366" w:rsidP="00010366">
      <w:pPr>
        <w:pStyle w:val="Heading1"/>
      </w:pPr>
      <w:bookmarkStart w:id="3" w:name="O_1217151"/>
      <w:bookmarkEnd w:id="3"/>
      <w:r w:rsidRPr="00010366">
        <w:t>Pre-requisite Unit</w:t>
      </w:r>
    </w:p>
    <w:p w:rsidR="00000000" w:rsidRPr="00010366" w:rsidP="004B057F">
      <w:pPr>
        <w:pStyle w:val="BodyText"/>
      </w:pPr>
      <w:r w:rsidRPr="00010366">
        <w:t xml:space="preserve">Nil </w:t>
      </w:r>
    </w:p>
    <w:p w:rsidR="00000000" w:rsidRPr="00010366" w:rsidP="00010366">
      <w:pPr>
        <w:pStyle w:val="Heading1"/>
      </w:pPr>
      <w:bookmarkStart w:id="4" w:name="O_1217152"/>
      <w:bookmarkEnd w:id="4"/>
      <w:r w:rsidRPr="00010366">
        <w:t>Competency Field</w:t>
      </w:r>
    </w:p>
    <w:p w:rsidR="00000000" w:rsidRPr="00010366" w:rsidP="004B057F">
      <w:pPr>
        <w:pStyle w:val="BodyText"/>
      </w:pPr>
      <w:r w:rsidRPr="00010366">
        <w:t>Regulatory</w:t>
      </w:r>
    </w:p>
    <w:p w:rsidR="00000000" w:rsidRPr="00010366" w:rsidP="00010366">
      <w:pPr>
        <w:pStyle w:val="Heading1"/>
      </w:pPr>
      <w:bookmarkStart w:id="5" w:name="O_1217154"/>
      <w:bookmarkEnd w:id="5"/>
      <w:r w:rsidRPr="000103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1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66" w:rsidP="00010366">
            <w:pPr>
              <w:pStyle w:val="BodyText"/>
            </w:pPr>
            <w:r w:rsidRPr="000103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66">
            <w:pPr>
              <w:pStyle w:val="BodyText"/>
              <w:rPr>
                <w:lang w:val="en-NZ"/>
              </w:rPr>
            </w:pPr>
            <w:r w:rsidRPr="00010366">
              <w:rPr>
                <w:rStyle w:val="SpecialBold"/>
              </w:rPr>
              <w:t>PERFORMANCE</w:t>
            </w:r>
            <w:r w:rsidRPr="00010366">
              <w:t xml:space="preserve"> </w:t>
            </w:r>
            <w:r w:rsidRPr="00010366">
              <w:rPr>
                <w:rStyle w:val="SpecialBold"/>
              </w:rPr>
              <w:t>CRITERIA</w:t>
            </w:r>
          </w:p>
        </w:tc>
      </w:tr>
      <w:tr w:rsidTr="0001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66" w:rsidP="00010366">
            <w:pPr>
              <w:pStyle w:val="BodyText"/>
            </w:pPr>
            <w:r w:rsidRPr="000103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66">
            <w:pPr>
              <w:pStyle w:val="BodyText"/>
              <w:rPr>
                <w:lang w:val="en-NZ"/>
              </w:rPr>
            </w:pPr>
            <w:r w:rsidRPr="00010366">
              <w:rPr>
                <w:rStyle w:val="Emphasis"/>
              </w:rPr>
              <w:t>Performan</w:t>
            </w:r>
            <w:r w:rsidRPr="00010366">
              <w:rPr>
                <w:rStyle w:val="Emphasis"/>
              </w:rPr>
              <w:t>ce criteria describe the performance needed to demonstrate achievement of the element.</w:t>
            </w:r>
          </w:p>
        </w:tc>
      </w:tr>
      <w:tr w:rsidTr="0001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66">
            <w:pPr>
              <w:pStyle w:val="List"/>
              <w:rPr>
                <w:lang w:val="en-NZ"/>
              </w:rPr>
            </w:pPr>
            <w:r w:rsidRPr="00010366">
              <w:t>1.  Develop compliance measures and targets.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66" w:rsidP="00010366">
            <w:pPr>
              <w:pStyle w:val="List"/>
            </w:pPr>
            <w:r w:rsidRPr="00010366">
              <w:t>1.1. Develop compliance measures that are valid, reliable, sufficient and both time and cost effective.</w:t>
            </w:r>
          </w:p>
          <w:p w:rsidR="00000000" w:rsidP="00010366">
            <w:pPr>
              <w:pStyle w:val="List"/>
              <w:rPr>
                <w:lang w:val="en-NZ"/>
              </w:rPr>
            </w:pPr>
            <w:r w:rsidRPr="00010366">
              <w:t>1.2. Develop realis</w:t>
            </w:r>
            <w:r w:rsidRPr="00010366">
              <w:t>tic measures and targets underpinned by current information.</w:t>
            </w:r>
          </w:p>
        </w:tc>
      </w:tr>
      <w:tr w:rsidTr="0001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66">
            <w:pPr>
              <w:pStyle w:val="List"/>
              <w:rPr>
                <w:lang w:val="en-NZ"/>
              </w:rPr>
            </w:pPr>
            <w:r w:rsidRPr="00010366">
              <w:t>2.  Evaluate extent of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66" w:rsidP="00010366">
            <w:pPr>
              <w:pStyle w:val="List"/>
            </w:pPr>
            <w:r w:rsidRPr="00010366">
              <w:t>2.1. Ensure analysis of compliance data is valid and conclusions are unbiased and supported by evidence.</w:t>
            </w:r>
          </w:p>
          <w:p w:rsidR="00000000" w:rsidRPr="00010366" w:rsidP="00010366">
            <w:pPr>
              <w:pStyle w:val="List"/>
            </w:pPr>
            <w:r w:rsidRPr="00010366">
              <w:t>2.2. Ensure interpretation of comparative data over ti</w:t>
            </w:r>
            <w:r w:rsidRPr="00010366">
              <w:t>me is valid and reliable and record outcomes.</w:t>
            </w:r>
          </w:p>
          <w:p w:rsidR="00000000" w:rsidP="00010366">
            <w:pPr>
              <w:pStyle w:val="List"/>
              <w:rPr>
                <w:lang w:val="en-NZ"/>
              </w:rPr>
            </w:pPr>
            <w:r w:rsidRPr="00010366">
              <w:t>2.3. Report compliance outcomes.</w:t>
            </w:r>
          </w:p>
        </w:tc>
      </w:tr>
      <w:tr w:rsidTr="0001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66">
            <w:pPr>
              <w:pStyle w:val="List"/>
              <w:rPr>
                <w:lang w:val="en-NZ"/>
              </w:rPr>
            </w:pPr>
            <w:r w:rsidRPr="00010366">
              <w:t>3.  Review procedures and guidelines to improve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66" w:rsidP="00010366">
            <w:pPr>
              <w:pStyle w:val="List"/>
            </w:pPr>
            <w:r w:rsidRPr="00010366">
              <w:t>3.1. Draw upon sources of information representing the breadth of possible stakeholders to ensure review is comprehensive.</w:t>
            </w:r>
          </w:p>
          <w:p w:rsidR="00000000" w:rsidRPr="00010366" w:rsidP="00010366">
            <w:pPr>
              <w:pStyle w:val="List"/>
            </w:pPr>
            <w:r w:rsidRPr="00010366">
              <w:t>3.2. Identify possible reasons for not meeting targets or performance indicators and make recommendations to improve long term volunt</w:t>
            </w:r>
            <w:r w:rsidRPr="00010366">
              <w:t>ary compliance.</w:t>
            </w:r>
          </w:p>
          <w:p w:rsidR="00000000" w:rsidP="00010366">
            <w:pPr>
              <w:pStyle w:val="List"/>
              <w:rPr>
                <w:lang w:val="en-NZ"/>
              </w:rPr>
            </w:pPr>
            <w:r w:rsidRPr="00010366">
              <w:t>3.3. Adjust strategies and plans to address review recommendations in accordance with resource constraints.</w:t>
            </w:r>
          </w:p>
        </w:tc>
      </w:tr>
      <w:tr w:rsidTr="0001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366">
            <w:pPr>
              <w:pStyle w:val="List"/>
              <w:rPr>
                <w:lang w:val="en-NZ"/>
              </w:rPr>
            </w:pPr>
            <w:r w:rsidRPr="00010366">
              <w:t>4.  Contribute to the development of new legislation or review of existing legislation.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366" w:rsidP="00010366">
            <w:pPr>
              <w:pStyle w:val="List"/>
            </w:pPr>
            <w:r w:rsidRPr="00010366">
              <w:t>4.1. Provide input that supports government</w:t>
            </w:r>
            <w:r w:rsidRPr="00010366">
              <w:t xml:space="preserve"> policy directions and relies on current information with supporting rationale and data analysis.</w:t>
            </w:r>
          </w:p>
          <w:p w:rsidR="00000000" w:rsidRPr="00010366" w:rsidP="00010366">
            <w:pPr>
              <w:pStyle w:val="List"/>
            </w:pPr>
            <w:r w:rsidRPr="00010366">
              <w:t>4.2. Report resource implications of legislative recommendations within government policy requirements.</w:t>
            </w:r>
          </w:p>
        </w:tc>
      </w:tr>
    </w:tbl>
    <w:p w:rsidR="00000000" w:rsidRPr="00010366" w:rsidP="00010366">
      <w:pPr>
        <w:pStyle w:val="BodyText"/>
      </w:pPr>
    </w:p>
    <w:p w:rsidR="00000000" w:rsidRPr="00010366" w:rsidP="00010366">
      <w:pPr>
        <w:pStyle w:val="AllowPageBreak"/>
      </w:pPr>
    </w:p>
    <w:p w:rsidR="00000000" w:rsidRPr="00010366" w:rsidP="00010366">
      <w:pPr>
        <w:pStyle w:val="Heading1"/>
      </w:pPr>
      <w:bookmarkStart w:id="6" w:name="O_1217155"/>
      <w:bookmarkEnd w:id="6"/>
      <w:r w:rsidRPr="00010366">
        <w:t>Foundation Skills</w:t>
      </w:r>
    </w:p>
    <w:p w:rsidR="00000000" w:rsidRPr="00010366" w:rsidP="004B057F">
      <w:pPr>
        <w:pStyle w:val="BodyText"/>
      </w:pPr>
      <w:r w:rsidRPr="00010366">
        <w:t>Foundation skills essential to performance are explicit in the performance criteria of this unit of competency.</w:t>
      </w:r>
    </w:p>
    <w:p w:rsidR="00000000" w:rsidRPr="00010366" w:rsidP="00010366">
      <w:pPr>
        <w:pStyle w:val="Heading1"/>
      </w:pPr>
      <w:bookmarkStart w:id="7" w:name="O_1217157"/>
      <w:bookmarkEnd w:id="7"/>
      <w:r w:rsidRPr="00010366">
        <w:t>Unit Mapping Information</w:t>
      </w:r>
    </w:p>
    <w:p w:rsidR="00000000" w:rsidRPr="00010366" w:rsidP="004B057F">
      <w:pPr>
        <w:pStyle w:val="BodyText"/>
      </w:pPr>
      <w:r w:rsidRPr="00010366">
        <w:t xml:space="preserve">Supersedes and is not equivalent to PSPREG028 Evaluate regulatory compliance. </w:t>
      </w:r>
    </w:p>
    <w:p w:rsidR="00000000" w:rsidRPr="00010366" w:rsidP="00010366">
      <w:pPr>
        <w:pStyle w:val="Heading1"/>
      </w:pPr>
      <w:bookmarkStart w:id="8" w:name="O_1217164"/>
      <w:bookmarkEnd w:id="8"/>
      <w:r w:rsidRPr="00010366">
        <w:t>Li</w:t>
      </w:r>
      <w:r w:rsidRPr="00010366">
        <w:t>nks</w:t>
      </w:r>
    </w:p>
    <w:p w:rsidR="00000000" w:rsidRPr="00010366" w:rsidP="004B057F">
      <w:pPr>
        <w:pStyle w:val="BodyText"/>
      </w:pPr>
      <w:r w:rsidRPr="000103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4BB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10366" w:rsidP="004B057F">
      <w:pPr>
        <w:pStyle w:val="BodyText"/>
        <w:sectPr w:rsidSect="000103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0366" w:rsidP="00010366">
      <w:pPr>
        <w:pStyle w:val="SuperHeading"/>
      </w:pPr>
      <w:r w:rsidRPr="00010366">
        <w:t>Assessment Requirements for PSPREG048 Evaluate regulatory c</w:t>
      </w:r>
      <w:r w:rsidRPr="00010366">
        <w:t>ompliance</w:t>
      </w:r>
    </w:p>
    <w:p w:rsidR="00000000" w:rsidRPr="00010366" w:rsidP="00010366">
      <w:pPr>
        <w:pStyle w:val="Heading1"/>
      </w:pPr>
      <w:bookmarkStart w:id="9" w:name="O_1217159"/>
      <w:bookmarkEnd w:id="9"/>
      <w:r w:rsidRPr="00010366">
        <w:t>Modification History</w:t>
      </w:r>
    </w:p>
    <w:p w:rsidR="00000000" w:rsidRPr="00010366" w:rsidP="004B057F">
      <w:pPr>
        <w:pStyle w:val="BodyText"/>
      </w:pPr>
      <w:r w:rsidRPr="00010366">
        <w:t xml:space="preserve">Supersedes and is not equivalent to PSPREG028 Evaluate regulatory compliance. </w:t>
      </w:r>
    </w:p>
    <w:p w:rsidR="00000000" w:rsidRPr="00010366" w:rsidP="00010366">
      <w:pPr>
        <w:pStyle w:val="Heading1"/>
      </w:pPr>
      <w:bookmarkStart w:id="10" w:name="O_1217160"/>
      <w:bookmarkEnd w:id="10"/>
      <w:r w:rsidRPr="00010366">
        <w:t>Performance Evidence</w:t>
      </w:r>
    </w:p>
    <w:p w:rsidR="00000000" w:rsidRPr="00010366" w:rsidP="004B057F">
      <w:pPr>
        <w:pStyle w:val="BodyText"/>
      </w:pPr>
      <w:r w:rsidRPr="00010366">
        <w:t xml:space="preserve">Evidence of the ability to complete tasks outlined in elements and performance criteria </w:t>
      </w:r>
      <w:r w:rsidRPr="00010366">
        <w:t>of this unit in the context of the job role, and:</w:t>
      </w:r>
    </w:p>
    <w:p w:rsidR="00000000" w:rsidRPr="00010366" w:rsidP="00010366">
      <w:pPr>
        <w:pStyle w:val="ListBullet"/>
      </w:pPr>
      <w:r w:rsidRPr="00010366">
        <w:t>conduct one review of compliance activities in a compliance work area or business unit in area of jurisdiction over a six-month period and:</w:t>
      </w:r>
    </w:p>
    <w:p w:rsidR="00000000" w:rsidRPr="00010366" w:rsidP="00010366">
      <w:pPr>
        <w:pStyle w:val="ListBullet2"/>
      </w:pPr>
      <w:r w:rsidRPr="00010366">
        <w:t>analyse complex information related to regulatory compliance</w:t>
      </w:r>
    </w:p>
    <w:p w:rsidR="00000000" w:rsidRPr="00010366" w:rsidP="00010366">
      <w:pPr>
        <w:pStyle w:val="ListBullet2"/>
      </w:pPr>
      <w:r w:rsidRPr="00010366">
        <w:t xml:space="preserve">prepare a summary of findings of effectiveness of compliance measures and targets </w:t>
      </w:r>
    </w:p>
    <w:p w:rsidR="00000000" w:rsidRPr="00010366" w:rsidP="00010366">
      <w:pPr>
        <w:pStyle w:val="ListBullet2"/>
      </w:pPr>
      <w:r w:rsidRPr="00010366">
        <w:t>incorporate recommendation for corrective actions and associated costings.</w:t>
      </w:r>
    </w:p>
    <w:p w:rsidR="00000000" w:rsidRPr="00010366" w:rsidP="00010366">
      <w:pPr>
        <w:pStyle w:val="AllowPageBreak"/>
      </w:pPr>
    </w:p>
    <w:p w:rsidR="00000000" w:rsidRPr="00010366" w:rsidP="00010366">
      <w:pPr>
        <w:pStyle w:val="Heading1"/>
      </w:pPr>
      <w:bookmarkStart w:id="11" w:name="O_1217161"/>
      <w:bookmarkEnd w:id="11"/>
      <w:r w:rsidRPr="00010366">
        <w:t>Knowledge Evidence</w:t>
      </w:r>
    </w:p>
    <w:p w:rsidR="00000000" w:rsidRPr="00010366" w:rsidP="004B057F">
      <w:pPr>
        <w:pStyle w:val="BodyText"/>
      </w:pPr>
      <w:r w:rsidRPr="00010366">
        <w:t>Demonstrated knowledge required to complete the tasks outlined in elements and performance criteria of this unit:</w:t>
      </w:r>
    </w:p>
    <w:p w:rsidR="00000000" w:rsidRPr="00010366" w:rsidP="00010366">
      <w:pPr>
        <w:pStyle w:val="ListBullet"/>
      </w:pPr>
      <w:r w:rsidRPr="00010366">
        <w:t>enabling legislation and regulations relevant to area of jurisdiction</w:t>
      </w:r>
    </w:p>
    <w:p w:rsidR="00000000" w:rsidRPr="00010366" w:rsidP="00010366">
      <w:pPr>
        <w:pStyle w:val="ListBullet"/>
      </w:pPr>
      <w:r w:rsidRPr="00010366">
        <w:t>government policies and legislation that apply to the function of the w</w:t>
      </w:r>
      <w:r w:rsidRPr="00010366">
        <w:t>ork group</w:t>
      </w:r>
    </w:p>
    <w:p w:rsidR="00000000" w:rsidRPr="00010366" w:rsidP="00010366">
      <w:pPr>
        <w:pStyle w:val="ListBullet"/>
      </w:pPr>
      <w:r w:rsidRPr="00010366">
        <w:t>principles of evaluation</w:t>
      </w:r>
    </w:p>
    <w:p w:rsidR="00000000" w:rsidRPr="00010366" w:rsidP="00010366">
      <w:pPr>
        <w:pStyle w:val="ListBullet"/>
      </w:pPr>
      <w:r w:rsidRPr="00010366">
        <w:t>organisational policies, procedures and guidelines for regulatory compliance.</w:t>
      </w:r>
    </w:p>
    <w:p w:rsidR="00000000" w:rsidRPr="00010366" w:rsidP="00010366">
      <w:pPr>
        <w:pStyle w:val="AllowPageBreak"/>
      </w:pPr>
    </w:p>
    <w:p w:rsidR="00000000" w:rsidRPr="00010366" w:rsidP="00010366">
      <w:pPr>
        <w:pStyle w:val="Heading1"/>
      </w:pPr>
      <w:bookmarkStart w:id="12" w:name="O_1217162"/>
      <w:bookmarkEnd w:id="12"/>
      <w:r w:rsidRPr="00010366">
        <w:t>Assessment Conditions</w:t>
      </w:r>
    </w:p>
    <w:p w:rsidR="00000000" w:rsidRPr="00010366" w:rsidP="004B057F">
      <w:pPr>
        <w:pStyle w:val="BodyText"/>
      </w:pPr>
      <w:r w:rsidRPr="00010366">
        <w:t xml:space="preserve">Skills must be demonstrated in the workplace or in a simulated environment that reflects workplace conditions. </w:t>
      </w:r>
    </w:p>
    <w:p w:rsidR="00000000" w:rsidRPr="00010366" w:rsidP="004B057F">
      <w:pPr>
        <w:pStyle w:val="BodyText"/>
      </w:pPr>
      <w:r w:rsidRPr="00010366">
        <w:t>Assessment must ensure access to:</w:t>
      </w:r>
    </w:p>
    <w:p w:rsidR="00000000" w:rsidRPr="00010366" w:rsidP="00010366">
      <w:pPr>
        <w:pStyle w:val="ListBullet"/>
      </w:pPr>
      <w:r w:rsidRPr="00010366">
        <w:t xml:space="preserve">legislation, regulation and government policy relating to regulatory compliance </w:t>
      </w:r>
    </w:p>
    <w:p w:rsidR="00000000" w:rsidRPr="00010366" w:rsidP="00010366">
      <w:pPr>
        <w:pStyle w:val="ListBullet"/>
      </w:pPr>
      <w:r w:rsidRPr="00010366">
        <w:t>organisational policies, pro</w:t>
      </w:r>
      <w:r w:rsidRPr="00010366">
        <w:t xml:space="preserve">cedures and guidelines for regulatory compliance in area of jurisdiction </w:t>
      </w:r>
    </w:p>
    <w:p w:rsidR="00000000" w:rsidRPr="00010366" w:rsidP="00010366">
      <w:pPr>
        <w:pStyle w:val="ListBullet"/>
      </w:pPr>
      <w:r w:rsidRPr="00010366">
        <w:t>resources and equipment of the working environment.</w:t>
      </w:r>
    </w:p>
    <w:p w:rsidR="00000000" w:rsidRPr="00010366" w:rsidP="004B057F">
      <w:pPr>
        <w:pStyle w:val="BodyText"/>
      </w:pPr>
      <w:r w:rsidRPr="00010366">
        <w:t>Assessors must satisfy the Standards for Registered Training Organisations’ requirements for assessors.</w:t>
      </w:r>
    </w:p>
    <w:p w:rsidR="00000000" w:rsidRPr="00010366" w:rsidP="00010366">
      <w:pPr>
        <w:pStyle w:val="Heading1"/>
      </w:pPr>
      <w:bookmarkStart w:id="13" w:name="O_1217165"/>
      <w:bookmarkEnd w:id="13"/>
      <w:r w:rsidRPr="00010366">
        <w:t>Links</w:t>
      </w:r>
    </w:p>
    <w:p w:rsidR="00000000" w:rsidRPr="00010366" w:rsidP="004B057F">
      <w:pPr>
        <w:pStyle w:val="BodyText"/>
      </w:pPr>
      <w:r w:rsidRPr="00010366">
        <w:t>C</w:t>
      </w:r>
      <w:r w:rsidRPr="00010366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4BB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10366" w:rsidP="00010366"/>
    <w:sectPr w:rsidSect="000103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66" w:rsidRPr="004B057F" w:rsidP="004B0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7F" w:rsidP="00010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57F" w:rsidP="00010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B057F" w:rsidP="000103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66" w:rsidP="00010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057F">
      <w:t>Approved</w:t>
    </w:r>
    <w:r w:rsidR="004B05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05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057F">
      <w:rPr>
        <w:noProof/>
      </w:rPr>
      <w:t>4</w:t>
    </w:r>
    <w:r>
      <w:rPr>
        <w:noProof/>
      </w:rPr>
      <w:fldChar w:fldCharType="end"/>
    </w:r>
  </w:p>
  <w:p w:rsidR="00010366" w:rsidP="00010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05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057F">
      <w:t>Public Skills Australia</w:t>
    </w:r>
    <w:r w:rsidR="004B057F">
      <w:fldChar w:fldCharType="end"/>
    </w:r>
  </w:p>
  <w:p w:rsidR="00010366" w:rsidP="00010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366" w:rsidRPr="004B057F" w:rsidP="004B0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7F" w:rsidRPr="002D2AF8" w:rsidP="00010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PSPREG048 Evaluate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057F" w:rsidP="000103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66" w:rsidRPr="002D2AF8" w:rsidP="00010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057F">
      <w:t>PSPREG048 Evaluate regulatory compliance</w:t>
    </w:r>
    <w:r w:rsidR="004B05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057F">
      <w:rPr>
        <w:noProof/>
      </w:rPr>
      <w:t>2 March 2025</w:t>
    </w:r>
    <w:r>
      <w:fldChar w:fldCharType="end"/>
    </w:r>
  </w:p>
  <w:p w:rsidR="00010366" w:rsidP="00010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227C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D88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8CC2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366"/>
  </w:style>
  <w:style w:type="character" w:customStyle="1" w:styleId="Heading1Char">
    <w:name w:val="Heading 1 Char"/>
    <w:basedOn w:val="DefaultParagraphFont"/>
    <w:link w:val="Heading1"/>
    <w:rsid w:val="00010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3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03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3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366"/>
    <w:rPr>
      <w:b/>
      <w:spacing w:val="0"/>
    </w:rPr>
  </w:style>
  <w:style w:type="paragraph" w:styleId="ListBullet2">
    <w:name w:val="List Bullet 2"/>
    <w:basedOn w:val="List2"/>
    <w:rsid w:val="000103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0366"/>
    <w:rPr>
      <w:i/>
    </w:rPr>
  </w:style>
  <w:style w:type="paragraph" w:customStyle="1" w:styleId="SuperHeading">
    <w:name w:val="SuperHeading"/>
    <w:basedOn w:val="Normal"/>
    <w:rsid w:val="00010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3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0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0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3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366"/>
  </w:style>
  <w:style w:type="paragraph" w:styleId="TableofFigures">
    <w:name w:val="table of figures"/>
    <w:basedOn w:val="Normal"/>
    <w:next w:val="Normal"/>
    <w:semiHidden/>
    <w:rsid w:val="00010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3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0366"/>
    <w:rPr>
      <w:rFonts w:ascii="Wingdings" w:hAnsi="Wingdings"/>
    </w:rPr>
  </w:style>
  <w:style w:type="paragraph" w:customStyle="1" w:styleId="TableHeading">
    <w:name w:val="Table Heading"/>
    <w:basedOn w:val="HeadingBase"/>
    <w:rsid w:val="00010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366"/>
    <w:rPr>
      <w:color w:val="0033CC"/>
      <w:u w:val="none"/>
    </w:rPr>
  </w:style>
  <w:style w:type="paragraph" w:customStyle="1" w:styleId="BodyTextRight">
    <w:name w:val="Body Text Right"/>
    <w:basedOn w:val="BodyText"/>
    <w:rsid w:val="00010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3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366"/>
    <w:rPr>
      <w:sz w:val="32"/>
    </w:rPr>
  </w:style>
  <w:style w:type="paragraph" w:customStyle="1" w:styleId="HeadingProcedure">
    <w:name w:val="Heading Procedure"/>
    <w:basedOn w:val="HeadingBase"/>
    <w:next w:val="Normal"/>
    <w:rsid w:val="00010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366"/>
    <w:pPr>
      <w:spacing w:before="60" w:after="60"/>
    </w:pPr>
  </w:style>
  <w:style w:type="paragraph" w:styleId="ListContinue">
    <w:name w:val="List Continue"/>
    <w:basedOn w:val="List"/>
    <w:rsid w:val="00010366"/>
    <w:pPr>
      <w:ind w:firstLine="0"/>
    </w:pPr>
  </w:style>
  <w:style w:type="paragraph" w:customStyle="1" w:styleId="ListNote">
    <w:name w:val="List Note"/>
    <w:basedOn w:val="List"/>
    <w:rsid w:val="00010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366"/>
    <w:rPr>
      <w:rFonts w:ascii="Courier New" w:hAnsi="Courier New"/>
    </w:rPr>
  </w:style>
  <w:style w:type="paragraph" w:customStyle="1" w:styleId="NoteBullet">
    <w:name w:val="Note Bullet"/>
    <w:basedOn w:val="Note"/>
    <w:rsid w:val="00010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3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0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366"/>
    <w:rPr>
      <w:b/>
      <w:smallCaps/>
    </w:rPr>
  </w:style>
  <w:style w:type="paragraph" w:customStyle="1" w:styleId="TableListNumber">
    <w:name w:val="Table List Number"/>
    <w:basedOn w:val="ListNumber"/>
    <w:rsid w:val="00010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366"/>
    <w:pPr>
      <w:numPr>
        <w:numId w:val="9"/>
      </w:numPr>
    </w:pPr>
  </w:style>
  <w:style w:type="paragraph" w:customStyle="1" w:styleId="ListAlpha2">
    <w:name w:val="List Alpha 2"/>
    <w:basedOn w:val="List2"/>
    <w:rsid w:val="00010366"/>
    <w:pPr>
      <w:numPr>
        <w:numId w:val="8"/>
      </w:numPr>
    </w:pPr>
  </w:style>
  <w:style w:type="paragraph" w:styleId="List2">
    <w:name w:val="List 2"/>
    <w:basedOn w:val="BodyText"/>
    <w:rsid w:val="00010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3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3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0366"/>
    <w:pPr>
      <w:numPr>
        <w:numId w:val="4"/>
      </w:numPr>
    </w:pPr>
  </w:style>
  <w:style w:type="paragraph" w:styleId="ListContinue2">
    <w:name w:val="List Continue 2"/>
    <w:basedOn w:val="List2"/>
    <w:rsid w:val="00010366"/>
    <w:pPr>
      <w:ind w:firstLine="0"/>
    </w:pPr>
  </w:style>
  <w:style w:type="paragraph" w:styleId="ListContinue3">
    <w:name w:val="List Continue 3"/>
    <w:basedOn w:val="List3"/>
    <w:rsid w:val="00010366"/>
    <w:pPr>
      <w:ind w:left="1021" w:firstLine="0"/>
    </w:pPr>
  </w:style>
  <w:style w:type="paragraph" w:styleId="ListContinue4">
    <w:name w:val="List Continue 4"/>
    <w:basedOn w:val="List4"/>
    <w:rsid w:val="00010366"/>
    <w:pPr>
      <w:ind w:firstLine="0"/>
    </w:pPr>
  </w:style>
  <w:style w:type="paragraph" w:styleId="ListContinue5">
    <w:name w:val="List Continue 5"/>
    <w:basedOn w:val="List5"/>
    <w:rsid w:val="00010366"/>
    <w:pPr>
      <w:ind w:firstLine="0"/>
    </w:pPr>
  </w:style>
  <w:style w:type="paragraph" w:styleId="ListNumber3">
    <w:name w:val="List Number 3"/>
    <w:basedOn w:val="List3"/>
    <w:rsid w:val="00010366"/>
    <w:pPr>
      <w:numPr>
        <w:numId w:val="5"/>
      </w:numPr>
    </w:pPr>
  </w:style>
  <w:style w:type="paragraph" w:styleId="ListNumber4">
    <w:name w:val="List Number 4"/>
    <w:basedOn w:val="List4"/>
    <w:rsid w:val="00010366"/>
    <w:pPr>
      <w:numPr>
        <w:numId w:val="6"/>
      </w:numPr>
    </w:pPr>
  </w:style>
  <w:style w:type="paragraph" w:styleId="ListNumber5">
    <w:name w:val="List Number 5"/>
    <w:basedOn w:val="List5"/>
    <w:rsid w:val="00010366"/>
    <w:pPr>
      <w:numPr>
        <w:numId w:val="7"/>
      </w:numPr>
    </w:pPr>
  </w:style>
  <w:style w:type="paragraph" w:styleId="BlockText">
    <w:name w:val="Block Text"/>
    <w:basedOn w:val="Normal"/>
    <w:rsid w:val="00010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366"/>
    <w:rPr>
      <w:sz w:val="16"/>
      <w:vertAlign w:val="superscript"/>
    </w:rPr>
  </w:style>
  <w:style w:type="character" w:customStyle="1" w:styleId="Symbols">
    <w:name w:val="Symbols"/>
    <w:basedOn w:val="DefaultParagraphFont"/>
    <w:rsid w:val="00010366"/>
    <w:rPr>
      <w:rFonts w:ascii="Symbol" w:hAnsi="Symbol"/>
    </w:rPr>
  </w:style>
  <w:style w:type="character" w:customStyle="1" w:styleId="MenuOptions">
    <w:name w:val="Menu Options"/>
    <w:basedOn w:val="DefaultParagraphFont"/>
    <w:rsid w:val="00010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366"/>
    <w:rPr>
      <w:b/>
    </w:rPr>
  </w:style>
  <w:style w:type="character" w:customStyle="1" w:styleId="Underlined">
    <w:name w:val="Underlined"/>
    <w:basedOn w:val="DefaultParagraphFont"/>
    <w:rsid w:val="00010366"/>
    <w:rPr>
      <w:u w:val="single"/>
    </w:rPr>
  </w:style>
  <w:style w:type="paragraph" w:customStyle="1" w:styleId="TableBodyTextRight">
    <w:name w:val="Table Body Text Right"/>
    <w:basedOn w:val="TableBodyText"/>
    <w:rsid w:val="00010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366"/>
    <w:rPr>
      <w:sz w:val="18"/>
    </w:rPr>
  </w:style>
  <w:style w:type="paragraph" w:customStyle="1" w:styleId="BodySmallRight">
    <w:name w:val="Body Small Right"/>
    <w:basedOn w:val="BodyTextRight"/>
    <w:rsid w:val="00010366"/>
    <w:rPr>
      <w:sz w:val="18"/>
      <w:szCs w:val="18"/>
    </w:rPr>
  </w:style>
  <w:style w:type="paragraph" w:customStyle="1" w:styleId="MarginEdition">
    <w:name w:val="Margin Edition"/>
    <w:basedOn w:val="MarginNote"/>
    <w:rsid w:val="00010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366"/>
    <w:rPr>
      <w:sz w:val="2"/>
      <w:szCs w:val="2"/>
    </w:rPr>
  </w:style>
  <w:style w:type="character" w:customStyle="1" w:styleId="Small">
    <w:name w:val="Small"/>
    <w:basedOn w:val="DefaultParagraphFont"/>
    <w:rsid w:val="00010366"/>
    <w:rPr>
      <w:sz w:val="16"/>
    </w:rPr>
  </w:style>
  <w:style w:type="paragraph" w:customStyle="1" w:styleId="WideTable">
    <w:name w:val="Wide Table"/>
    <w:basedOn w:val="Normal"/>
    <w:rsid w:val="00010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366"/>
  </w:style>
  <w:style w:type="paragraph" w:styleId="Quote">
    <w:name w:val="Quote"/>
    <w:basedOn w:val="Heading1"/>
    <w:link w:val="QuoteChar"/>
    <w:qFormat/>
    <w:rsid w:val="00010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366"/>
    <w:pPr>
      <w:pageBreakBefore/>
    </w:pPr>
  </w:style>
  <w:style w:type="paragraph" w:customStyle="1" w:styleId="Border">
    <w:name w:val="Border"/>
    <w:basedOn w:val="Normal"/>
    <w:qFormat/>
    <w:rsid w:val="00010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366"/>
    <w:rPr>
      <w:u w:val="single"/>
    </w:rPr>
  </w:style>
  <w:style w:type="character" w:customStyle="1" w:styleId="BoldandItalics">
    <w:name w:val="Bold and Italics"/>
    <w:qFormat/>
    <w:rsid w:val="00010366"/>
    <w:rPr>
      <w:b/>
      <w:i/>
      <w:u w:val="none"/>
    </w:rPr>
  </w:style>
  <w:style w:type="paragraph" w:styleId="BalloonText">
    <w:name w:val="Balloon Text"/>
    <w:basedOn w:val="Normal"/>
    <w:link w:val="BalloonTextChar"/>
    <w:rsid w:val="00010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366"/>
    <w:pPr>
      <w:spacing w:before="0" w:after="0"/>
    </w:pPr>
  </w:style>
  <w:style w:type="paragraph" w:customStyle="1" w:styleId="BodyTextBold">
    <w:name w:val="Body Text Bold"/>
    <w:basedOn w:val="BodyText"/>
    <w:qFormat/>
    <w:rsid w:val="00010366"/>
    <w:rPr>
      <w:b/>
    </w:rPr>
  </w:style>
  <w:style w:type="character" w:styleId="Hyperlink">
    <w:name w:val="Hyperlink"/>
    <w:basedOn w:val="DefaultParagraphFont"/>
    <w:uiPriority w:val="99"/>
    <w:unhideWhenUsed/>
    <w:rsid w:val="004B0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4189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PSPREG048 Evaluate regulatory compliance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