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1D6B" w:rsidP="00181D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PSPREG044 Conduct prosecutions</w:t>
      </w:r>
      <w:r>
        <w:fldChar w:fldCharType="end"/>
      </w:r>
    </w:p>
    <w:p w:rsidR="00181D6B" w:rsidP="00181D6B">
      <w:pPr>
        <w:pStyle w:val="Version"/>
        <w:sectPr w:rsidSect="001F64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6486" w:rsidP="001F6486">
      <w:pPr>
        <w:pStyle w:val="SuperHeading"/>
      </w:pPr>
      <w:r w:rsidRPr="001F6486">
        <w:t>PSPREG044 Conduct prosecutions</w:t>
      </w:r>
    </w:p>
    <w:p w:rsidR="00000000" w:rsidRPr="001F6486" w:rsidP="001F6486">
      <w:pPr>
        <w:pStyle w:val="Heading1"/>
      </w:pPr>
      <w:bookmarkStart w:id="1" w:name="O_1217073"/>
      <w:bookmarkEnd w:id="1"/>
      <w:r w:rsidRPr="001F6486">
        <w:t>Modification History</w:t>
      </w:r>
    </w:p>
    <w:p w:rsidR="00000000" w:rsidRPr="001F6486" w:rsidP="00181D6B">
      <w:pPr>
        <w:pStyle w:val="BodyText"/>
      </w:pPr>
      <w:r w:rsidRPr="001F6486">
        <w:t>Supersedes and is not equivalent to PSPREG020 Conduct prosecutions.</w:t>
      </w:r>
    </w:p>
    <w:p w:rsidR="00000000" w:rsidRPr="001F6486" w:rsidP="001F6486">
      <w:pPr>
        <w:pStyle w:val="Heading1"/>
      </w:pPr>
      <w:bookmarkStart w:id="2" w:name="O_1217074"/>
      <w:bookmarkEnd w:id="2"/>
      <w:r w:rsidRPr="001F6486">
        <w:t>Application</w:t>
      </w:r>
    </w:p>
    <w:p w:rsidR="00000000" w:rsidRPr="001F6486" w:rsidP="00181D6B">
      <w:pPr>
        <w:pStyle w:val="BodyText"/>
      </w:pPr>
      <w:r w:rsidRPr="001F6486">
        <w:t>This unit describes the performance outcomes, skills and knowledge required to review a brief of evidence and prosecute offences while a</w:t>
      </w:r>
      <w:r w:rsidRPr="001F6486">
        <w:t>cting as the prosecutor in court.</w:t>
      </w:r>
    </w:p>
    <w:p w:rsidR="00000000" w:rsidRPr="001F6486" w:rsidP="00181D6B">
      <w:pPr>
        <w:pStyle w:val="BodyText"/>
      </w:pPr>
      <w:r w:rsidRPr="001F6486">
        <w:t>This unit applies to those working in public sector roles conducting regulatory activities. Those undertaking this unit work autonomously, performing complex tasks in a range of familiar and unfamiliar contexts.</w:t>
      </w:r>
    </w:p>
    <w:p w:rsidR="00000000" w:rsidRPr="001F6486" w:rsidP="00181D6B">
      <w:pPr>
        <w:pStyle w:val="BodyText"/>
      </w:pPr>
      <w:r w:rsidRPr="001F6486">
        <w:t>The skills</w:t>
      </w:r>
      <w:r w:rsidRPr="001F6486">
        <w:t xml:space="preserve"> in this unit must be applied in accordance with Commonwealth and State or Territory legislation, Australian standards and industry codes of practice.</w:t>
      </w:r>
    </w:p>
    <w:p w:rsidR="00000000" w:rsidRPr="001F6486" w:rsidP="00181D6B">
      <w:pPr>
        <w:pStyle w:val="BodyText"/>
      </w:pPr>
      <w:r w:rsidRPr="001F6486">
        <w:t>No occupational licensing, certification or specific legislative requirements apply to this unit at the t</w:t>
      </w:r>
      <w:r w:rsidRPr="001F6486">
        <w:t>ime of publication.</w:t>
      </w:r>
    </w:p>
    <w:p w:rsidR="00000000" w:rsidRPr="001F6486" w:rsidP="001F6486">
      <w:pPr>
        <w:pStyle w:val="Heading1"/>
      </w:pPr>
      <w:bookmarkStart w:id="3" w:name="O_1217075"/>
      <w:bookmarkEnd w:id="3"/>
      <w:r w:rsidRPr="001F6486">
        <w:t>Pre-requisite Unit</w:t>
      </w:r>
    </w:p>
    <w:p w:rsidR="00000000" w:rsidRPr="001F6486" w:rsidP="00181D6B">
      <w:pPr>
        <w:pStyle w:val="BodyText"/>
      </w:pPr>
      <w:r w:rsidRPr="001F6486">
        <w:t xml:space="preserve">Nil </w:t>
      </w:r>
    </w:p>
    <w:p w:rsidR="00000000" w:rsidRPr="001F6486" w:rsidP="001F6486">
      <w:pPr>
        <w:pStyle w:val="Heading1"/>
      </w:pPr>
      <w:bookmarkStart w:id="4" w:name="O_1217076"/>
      <w:bookmarkEnd w:id="4"/>
      <w:r w:rsidRPr="001F6486">
        <w:t>Competency Field</w:t>
      </w:r>
    </w:p>
    <w:p w:rsidR="00000000" w:rsidRPr="001F6486" w:rsidP="00181D6B">
      <w:pPr>
        <w:pStyle w:val="BodyText"/>
      </w:pPr>
      <w:r w:rsidRPr="001F6486">
        <w:t>Regulatory</w:t>
      </w:r>
    </w:p>
    <w:p w:rsidR="00000000" w:rsidRPr="001F6486" w:rsidP="001F6486">
      <w:pPr>
        <w:pStyle w:val="Heading1"/>
      </w:pPr>
      <w:bookmarkStart w:id="5" w:name="O_1217078"/>
      <w:bookmarkEnd w:id="5"/>
      <w:r w:rsidRPr="001F64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F6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486" w:rsidP="001F6486">
            <w:pPr>
              <w:pStyle w:val="BodyText"/>
            </w:pPr>
            <w:r w:rsidRPr="001F648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486">
            <w:pPr>
              <w:pStyle w:val="BodyText"/>
              <w:rPr>
                <w:lang w:val="en-NZ"/>
              </w:rPr>
            </w:pPr>
            <w:r w:rsidRPr="001F6486">
              <w:rPr>
                <w:rStyle w:val="SpecialBold"/>
              </w:rPr>
              <w:t>PERFORMANCE</w:t>
            </w:r>
            <w:r w:rsidRPr="001F6486">
              <w:t xml:space="preserve"> </w:t>
            </w:r>
            <w:r w:rsidRPr="001F6486">
              <w:rPr>
                <w:rStyle w:val="SpecialBold"/>
              </w:rPr>
              <w:t>CRITERIA</w:t>
            </w:r>
          </w:p>
        </w:tc>
      </w:tr>
      <w:tr w:rsidTr="001F6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486" w:rsidP="001F6486">
            <w:pPr>
              <w:pStyle w:val="BodyText"/>
            </w:pPr>
            <w:r w:rsidRPr="001F648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486">
            <w:pPr>
              <w:pStyle w:val="BodyText"/>
              <w:rPr>
                <w:lang w:val="en-NZ"/>
              </w:rPr>
            </w:pPr>
            <w:r w:rsidRPr="001F6486">
              <w:rPr>
                <w:rStyle w:val="Emphasis"/>
              </w:rPr>
              <w:t xml:space="preserve">Performance criteria </w:t>
            </w:r>
            <w:r w:rsidRPr="001F6486">
              <w:rPr>
                <w:rStyle w:val="Emphasis"/>
              </w:rPr>
              <w:t>describe the performance needed to demonstrate achievement of the element.</w:t>
            </w:r>
          </w:p>
        </w:tc>
      </w:tr>
      <w:tr w:rsidTr="001F6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486">
            <w:pPr>
              <w:pStyle w:val="List"/>
              <w:rPr>
                <w:lang w:val="en-NZ"/>
              </w:rPr>
            </w:pPr>
            <w:r w:rsidRPr="001F6486">
              <w:t>1.  Prepare for prosecution.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486" w:rsidP="001F6486">
            <w:pPr>
              <w:pStyle w:val="List"/>
            </w:pPr>
            <w:r w:rsidRPr="001F6486">
              <w:t>1.1. Review and clarify brief of evidence with the authorised officer prior to court proceedings.</w:t>
            </w:r>
          </w:p>
          <w:p w:rsidR="00000000" w:rsidRPr="001F6486" w:rsidP="001F6486">
            <w:pPr>
              <w:pStyle w:val="List"/>
            </w:pPr>
            <w:r w:rsidRPr="001F6486">
              <w:t>1.2. Identify relevant precedents.</w:t>
            </w:r>
          </w:p>
          <w:p w:rsidR="00000000" w:rsidRPr="001F6486" w:rsidP="001F6486">
            <w:pPr>
              <w:pStyle w:val="List"/>
            </w:pPr>
            <w:r w:rsidRPr="001F6486">
              <w:t>1.3. Prepare questions to address the facts of the brief.</w:t>
            </w:r>
          </w:p>
          <w:p w:rsidR="00000000" w:rsidRPr="001F6486" w:rsidP="001F6486">
            <w:pPr>
              <w:pStyle w:val="List"/>
            </w:pPr>
            <w:r w:rsidRPr="001F6486">
              <w:t>1.4. Brief personnel involved.</w:t>
            </w:r>
          </w:p>
          <w:p w:rsidR="00000000" w:rsidP="001F6486">
            <w:pPr>
              <w:pStyle w:val="List"/>
              <w:rPr>
                <w:lang w:val="en-NZ"/>
              </w:rPr>
            </w:pPr>
            <w:r w:rsidRPr="001F6486">
              <w:t>1.5. Agree upon parameters for negotiating out of court prior to prosecution with authorised organisational personnel.</w:t>
            </w:r>
          </w:p>
        </w:tc>
      </w:tr>
      <w:tr w:rsidTr="001F6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486">
            <w:pPr>
              <w:pStyle w:val="List"/>
              <w:rPr>
                <w:lang w:val="en-NZ"/>
              </w:rPr>
            </w:pPr>
            <w:r w:rsidRPr="001F6486">
              <w:t xml:space="preserve">2.  Conduct a </w:t>
            </w:r>
            <w:r w:rsidRPr="001F6486">
              <w:t>prosecution.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486" w:rsidP="001F6486">
            <w:pPr>
              <w:pStyle w:val="List"/>
            </w:pPr>
            <w:r w:rsidRPr="001F6486">
              <w:t>2.1. Follow evidenti</w:t>
            </w:r>
            <w:r w:rsidRPr="001F6486">
              <w:t xml:space="preserve">ary procedures and conduct prosecution </w:t>
            </w:r>
            <w:r w:rsidRPr="001F6486">
              <w:t>according to court processes, protocols, rules of evidence and organisational instructions.</w:t>
            </w:r>
          </w:p>
          <w:p w:rsidR="00000000" w:rsidRPr="001F6486" w:rsidP="001F6486">
            <w:pPr>
              <w:pStyle w:val="List"/>
            </w:pPr>
            <w:r w:rsidRPr="001F6486">
              <w:t>2.2. Maintain personal presentation to meet organisational standards.</w:t>
            </w:r>
          </w:p>
          <w:p w:rsidR="00000000" w:rsidRPr="001F6486" w:rsidP="001F6486">
            <w:pPr>
              <w:pStyle w:val="List"/>
            </w:pPr>
            <w:r w:rsidRPr="001F6486">
              <w:t>2.3. Complete file endorsements in accordance with requ</w:t>
            </w:r>
            <w:r w:rsidRPr="001F6486">
              <w:t>ired procedures.</w:t>
            </w:r>
          </w:p>
          <w:p w:rsidR="00000000" w:rsidRPr="001F6486" w:rsidP="001F6486">
            <w:pPr>
              <w:pStyle w:val="List"/>
            </w:pPr>
            <w:r w:rsidRPr="001F6486">
              <w:t>2.4. Follow up or complete matters arising from proceedings.</w:t>
            </w:r>
          </w:p>
          <w:p w:rsidR="00000000" w:rsidRPr="001F6486" w:rsidP="001F6486">
            <w:pPr>
              <w:pStyle w:val="List"/>
            </w:pPr>
            <w:r w:rsidRPr="001F6486">
              <w:t>2.5. Review the outcome of the prosecution to provide input or recommendations for handling future cases.</w:t>
            </w:r>
          </w:p>
        </w:tc>
      </w:tr>
    </w:tbl>
    <w:p w:rsidR="00000000" w:rsidRPr="001F6486" w:rsidP="001F6486">
      <w:pPr>
        <w:pStyle w:val="BodyText"/>
      </w:pPr>
    </w:p>
    <w:p w:rsidR="00000000" w:rsidRPr="001F6486" w:rsidP="001F6486">
      <w:pPr>
        <w:pStyle w:val="AllowPageBreak"/>
      </w:pPr>
    </w:p>
    <w:p w:rsidR="00000000" w:rsidRPr="001F6486" w:rsidP="001F6486">
      <w:pPr>
        <w:pStyle w:val="Heading1"/>
      </w:pPr>
      <w:bookmarkStart w:id="6" w:name="O_1217079"/>
      <w:bookmarkEnd w:id="6"/>
      <w:r w:rsidRPr="001F6486">
        <w:t>Foundation Skills</w:t>
      </w:r>
    </w:p>
    <w:p w:rsidR="00000000" w:rsidRPr="001F6486" w:rsidP="00181D6B">
      <w:pPr>
        <w:pStyle w:val="BodyText"/>
      </w:pPr>
      <w:r w:rsidRPr="001F6486">
        <w:t>Foundation skills essential to performance are explicit in the performance criteria of this unit of competency.</w:t>
      </w:r>
    </w:p>
    <w:p w:rsidR="00000000" w:rsidRPr="001F6486" w:rsidP="001F6486">
      <w:pPr>
        <w:pStyle w:val="Heading1"/>
      </w:pPr>
      <w:bookmarkStart w:id="7" w:name="O_1217081"/>
      <w:bookmarkEnd w:id="7"/>
      <w:r w:rsidRPr="001F6486">
        <w:t>Unit Mapping Information</w:t>
      </w:r>
    </w:p>
    <w:p w:rsidR="00000000" w:rsidRPr="001F6486" w:rsidP="00181D6B">
      <w:pPr>
        <w:pStyle w:val="BodyText"/>
      </w:pPr>
      <w:r w:rsidRPr="001F6486">
        <w:t>Supersedes and is not equivalent to PSPREG020 Conduct prosecutions.</w:t>
      </w:r>
    </w:p>
    <w:p w:rsidR="00000000" w:rsidRPr="001F6486" w:rsidP="001F6486">
      <w:pPr>
        <w:pStyle w:val="Heading1"/>
      </w:pPr>
      <w:bookmarkStart w:id="8" w:name="O_1217088"/>
      <w:bookmarkEnd w:id="8"/>
      <w:r w:rsidRPr="001F6486">
        <w:t>Links</w:t>
      </w:r>
    </w:p>
    <w:p w:rsidR="00000000" w:rsidRPr="001F6486" w:rsidP="00181D6B">
      <w:pPr>
        <w:pStyle w:val="BodyText"/>
      </w:pPr>
      <w:r w:rsidRPr="001F6486">
        <w:t>Compani</w:t>
      </w:r>
      <w:r w:rsidRPr="001F6486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E462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F6486" w:rsidP="001F6486"/>
    <w:sectPr w:rsidSect="001F64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4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486" w:rsidRPr="00181D6B" w:rsidP="00181D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4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D6B" w:rsidP="001F64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1D6B" w:rsidP="001F64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81D6B" w:rsidP="001F64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4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D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6486" w:rsidRPr="00181D6B" w:rsidP="00181D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4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D6B" w:rsidRPr="002D2AF8" w:rsidP="001F64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PSPREG044 Conduct prosecutions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181D6B" w:rsidP="001F64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4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64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64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64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64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64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64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64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64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64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64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6486"/>
  </w:style>
  <w:style w:type="character" w:customStyle="1" w:styleId="Heading1Char">
    <w:name w:val="Heading 1 Char"/>
    <w:basedOn w:val="DefaultParagraphFont"/>
    <w:link w:val="Heading1"/>
    <w:rsid w:val="001F64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64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64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648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F6486"/>
    <w:rPr>
      <w:b/>
      <w:spacing w:val="0"/>
    </w:rPr>
  </w:style>
  <w:style w:type="character" w:styleId="Emphasis">
    <w:name w:val="Emphasis"/>
    <w:basedOn w:val="DefaultParagraphFont"/>
    <w:qFormat/>
    <w:rsid w:val="001F6486"/>
    <w:rPr>
      <w:i/>
    </w:rPr>
  </w:style>
  <w:style w:type="paragraph" w:customStyle="1" w:styleId="SuperHeading">
    <w:name w:val="SuperHeading"/>
    <w:basedOn w:val="Normal"/>
    <w:rsid w:val="001F64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64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64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64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64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64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64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64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64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64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64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64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64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64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64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64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64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64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64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648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F648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F64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64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64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64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648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64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64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64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64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64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64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64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64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64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64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64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64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6486"/>
  </w:style>
  <w:style w:type="paragraph" w:styleId="TableofFigures">
    <w:name w:val="table of figures"/>
    <w:basedOn w:val="Normal"/>
    <w:next w:val="Normal"/>
    <w:semiHidden/>
    <w:rsid w:val="001F64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648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F6486"/>
    <w:rPr>
      <w:rFonts w:ascii="Wingdings" w:hAnsi="Wingdings"/>
    </w:rPr>
  </w:style>
  <w:style w:type="paragraph" w:customStyle="1" w:styleId="TableHeading">
    <w:name w:val="Table Heading"/>
    <w:basedOn w:val="HeadingBase"/>
    <w:rsid w:val="001F64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6486"/>
    <w:rPr>
      <w:color w:val="0033CC"/>
      <w:u w:val="none"/>
    </w:rPr>
  </w:style>
  <w:style w:type="paragraph" w:customStyle="1" w:styleId="BodyTextRight">
    <w:name w:val="Body Text Right"/>
    <w:basedOn w:val="BodyText"/>
    <w:rsid w:val="001F64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64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648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64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64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64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6486"/>
    <w:rPr>
      <w:sz w:val="32"/>
    </w:rPr>
  </w:style>
  <w:style w:type="paragraph" w:customStyle="1" w:styleId="HeadingProcedure">
    <w:name w:val="Heading Procedure"/>
    <w:basedOn w:val="HeadingBase"/>
    <w:next w:val="Normal"/>
    <w:rsid w:val="001F64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6486"/>
    <w:pPr>
      <w:spacing w:before="60" w:after="60"/>
    </w:pPr>
  </w:style>
  <w:style w:type="paragraph" w:styleId="ListContinue">
    <w:name w:val="List Continue"/>
    <w:basedOn w:val="List"/>
    <w:rsid w:val="001F6486"/>
    <w:pPr>
      <w:ind w:firstLine="0"/>
    </w:pPr>
  </w:style>
  <w:style w:type="paragraph" w:customStyle="1" w:styleId="ListNote">
    <w:name w:val="List Note"/>
    <w:basedOn w:val="List"/>
    <w:rsid w:val="001F64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64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64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6486"/>
    <w:rPr>
      <w:rFonts w:ascii="Courier New" w:hAnsi="Courier New"/>
    </w:rPr>
  </w:style>
  <w:style w:type="paragraph" w:customStyle="1" w:styleId="NoteBullet">
    <w:name w:val="Note Bullet"/>
    <w:basedOn w:val="Note"/>
    <w:rsid w:val="001F64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64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64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64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648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F64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64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6486"/>
    <w:rPr>
      <w:b/>
      <w:smallCaps/>
    </w:rPr>
  </w:style>
  <w:style w:type="paragraph" w:customStyle="1" w:styleId="TableListNumber">
    <w:name w:val="Table List Number"/>
    <w:basedOn w:val="ListNumber"/>
    <w:rsid w:val="001F64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64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6486"/>
    <w:pPr>
      <w:numPr>
        <w:numId w:val="7"/>
      </w:numPr>
    </w:pPr>
  </w:style>
  <w:style w:type="paragraph" w:customStyle="1" w:styleId="ListAlpha2">
    <w:name w:val="List Alpha 2"/>
    <w:basedOn w:val="List2"/>
    <w:rsid w:val="001F6486"/>
    <w:pPr>
      <w:numPr>
        <w:numId w:val="6"/>
      </w:numPr>
    </w:pPr>
  </w:style>
  <w:style w:type="paragraph" w:styleId="List2">
    <w:name w:val="List 2"/>
    <w:basedOn w:val="BodyText"/>
    <w:rsid w:val="001F64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64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64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64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648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648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F6486"/>
    <w:pPr>
      <w:numPr>
        <w:numId w:val="2"/>
      </w:numPr>
    </w:pPr>
  </w:style>
  <w:style w:type="paragraph" w:styleId="ListContinue2">
    <w:name w:val="List Continue 2"/>
    <w:basedOn w:val="List2"/>
    <w:rsid w:val="001F6486"/>
    <w:pPr>
      <w:ind w:firstLine="0"/>
    </w:pPr>
  </w:style>
  <w:style w:type="paragraph" w:styleId="ListContinue3">
    <w:name w:val="List Continue 3"/>
    <w:basedOn w:val="List3"/>
    <w:rsid w:val="001F6486"/>
    <w:pPr>
      <w:ind w:left="1021" w:firstLine="0"/>
    </w:pPr>
  </w:style>
  <w:style w:type="paragraph" w:styleId="ListContinue4">
    <w:name w:val="List Continue 4"/>
    <w:basedOn w:val="List4"/>
    <w:rsid w:val="001F6486"/>
    <w:pPr>
      <w:ind w:firstLine="0"/>
    </w:pPr>
  </w:style>
  <w:style w:type="paragraph" w:styleId="ListContinue5">
    <w:name w:val="List Continue 5"/>
    <w:basedOn w:val="List5"/>
    <w:rsid w:val="001F6486"/>
    <w:pPr>
      <w:ind w:firstLine="0"/>
    </w:pPr>
  </w:style>
  <w:style w:type="paragraph" w:styleId="ListNumber3">
    <w:name w:val="List Number 3"/>
    <w:basedOn w:val="List3"/>
    <w:rsid w:val="001F6486"/>
    <w:pPr>
      <w:numPr>
        <w:numId w:val="3"/>
      </w:numPr>
    </w:pPr>
  </w:style>
  <w:style w:type="paragraph" w:styleId="ListNumber4">
    <w:name w:val="List Number 4"/>
    <w:basedOn w:val="List4"/>
    <w:rsid w:val="001F6486"/>
    <w:pPr>
      <w:numPr>
        <w:numId w:val="4"/>
      </w:numPr>
    </w:pPr>
  </w:style>
  <w:style w:type="paragraph" w:styleId="ListNumber5">
    <w:name w:val="List Number 5"/>
    <w:basedOn w:val="List5"/>
    <w:rsid w:val="001F6486"/>
    <w:pPr>
      <w:numPr>
        <w:numId w:val="5"/>
      </w:numPr>
    </w:pPr>
  </w:style>
  <w:style w:type="paragraph" w:styleId="BlockText">
    <w:name w:val="Block Text"/>
    <w:basedOn w:val="Normal"/>
    <w:rsid w:val="001F64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64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6486"/>
    <w:rPr>
      <w:sz w:val="16"/>
      <w:vertAlign w:val="superscript"/>
    </w:rPr>
  </w:style>
  <w:style w:type="character" w:customStyle="1" w:styleId="Symbols">
    <w:name w:val="Symbols"/>
    <w:basedOn w:val="DefaultParagraphFont"/>
    <w:rsid w:val="001F6486"/>
    <w:rPr>
      <w:rFonts w:ascii="Symbol" w:hAnsi="Symbol"/>
    </w:rPr>
  </w:style>
  <w:style w:type="character" w:customStyle="1" w:styleId="MenuOptions">
    <w:name w:val="Menu Options"/>
    <w:basedOn w:val="DefaultParagraphFont"/>
    <w:rsid w:val="001F64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6486"/>
    <w:rPr>
      <w:b/>
    </w:rPr>
  </w:style>
  <w:style w:type="character" w:customStyle="1" w:styleId="Underlined">
    <w:name w:val="Underlined"/>
    <w:basedOn w:val="DefaultParagraphFont"/>
    <w:rsid w:val="001F6486"/>
    <w:rPr>
      <w:u w:val="single"/>
    </w:rPr>
  </w:style>
  <w:style w:type="paragraph" w:customStyle="1" w:styleId="TableBodyTextRight">
    <w:name w:val="Table Body Text Right"/>
    <w:basedOn w:val="TableBodyText"/>
    <w:rsid w:val="001F64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6486"/>
    <w:rPr>
      <w:sz w:val="18"/>
    </w:rPr>
  </w:style>
  <w:style w:type="paragraph" w:customStyle="1" w:styleId="BodySmallRight">
    <w:name w:val="Body Small Right"/>
    <w:basedOn w:val="BodyTextRight"/>
    <w:rsid w:val="001F6486"/>
    <w:rPr>
      <w:sz w:val="18"/>
      <w:szCs w:val="18"/>
    </w:rPr>
  </w:style>
  <w:style w:type="paragraph" w:customStyle="1" w:styleId="MarginEdition">
    <w:name w:val="Margin Edition"/>
    <w:basedOn w:val="MarginNote"/>
    <w:rsid w:val="001F64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6486"/>
    <w:rPr>
      <w:sz w:val="2"/>
      <w:szCs w:val="2"/>
    </w:rPr>
  </w:style>
  <w:style w:type="character" w:customStyle="1" w:styleId="Small">
    <w:name w:val="Small"/>
    <w:basedOn w:val="DefaultParagraphFont"/>
    <w:rsid w:val="001F6486"/>
    <w:rPr>
      <w:sz w:val="16"/>
    </w:rPr>
  </w:style>
  <w:style w:type="paragraph" w:customStyle="1" w:styleId="WideTable">
    <w:name w:val="Wide Table"/>
    <w:basedOn w:val="Normal"/>
    <w:rsid w:val="001F64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6486"/>
  </w:style>
  <w:style w:type="paragraph" w:styleId="Quote">
    <w:name w:val="Quote"/>
    <w:basedOn w:val="Heading1"/>
    <w:link w:val="QuoteChar"/>
    <w:qFormat/>
    <w:rsid w:val="001F64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64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6486"/>
    <w:pPr>
      <w:pageBreakBefore/>
    </w:pPr>
  </w:style>
  <w:style w:type="paragraph" w:customStyle="1" w:styleId="Border">
    <w:name w:val="Border"/>
    <w:basedOn w:val="Normal"/>
    <w:qFormat/>
    <w:rsid w:val="001F64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64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4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4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64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64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64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64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64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6486"/>
    <w:rPr>
      <w:u w:val="single"/>
    </w:rPr>
  </w:style>
  <w:style w:type="character" w:customStyle="1" w:styleId="BoldandItalics">
    <w:name w:val="Bold and Italics"/>
    <w:qFormat/>
    <w:rsid w:val="001F6486"/>
    <w:rPr>
      <w:b/>
      <w:i/>
      <w:u w:val="none"/>
    </w:rPr>
  </w:style>
  <w:style w:type="paragraph" w:styleId="BalloonText">
    <w:name w:val="Balloon Text"/>
    <w:basedOn w:val="Normal"/>
    <w:link w:val="BalloonTextChar"/>
    <w:rsid w:val="001F64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64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64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64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64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64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6486"/>
    <w:pPr>
      <w:spacing w:before="0" w:after="0"/>
    </w:pPr>
  </w:style>
  <w:style w:type="paragraph" w:customStyle="1" w:styleId="BodyTextBold">
    <w:name w:val="Body Text Bold"/>
    <w:basedOn w:val="BodyText"/>
    <w:qFormat/>
    <w:rsid w:val="001F6486"/>
    <w:rPr>
      <w:b/>
    </w:rPr>
  </w:style>
  <w:style w:type="character" w:styleId="Hyperlink">
    <w:name w:val="Hyperlink"/>
    <w:basedOn w:val="DefaultParagraphFont"/>
    <w:uiPriority w:val="99"/>
    <w:unhideWhenUsed/>
    <w:rsid w:val="00181D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2175</Characters>
  <Application>Microsoft Office Word</Application>
  <DocSecurity>0</DocSecurity>
  <Lines>70</Lines>
  <Paragraphs>45</Paragraphs>
  <ScaleCrop>false</ScaleCrop>
  <Company>Author-it Software Corporation Ltd.</Company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PSPREG044 Conduct prosecutions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2022-12-05T05:05:00Z</dcterms:created>
  <dcterms:modified xsi:type="dcterms:W3CDTF">2022-12-05T05:05:00Z</dcterms:modified>
</cp:coreProperties>
</file>