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909" w:rsidP="00483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PSPREG044 Conduct prosecutions</w:t>
      </w:r>
      <w:r>
        <w:fldChar w:fldCharType="end"/>
      </w:r>
    </w:p>
    <w:p w:rsidR="00483909" w:rsidP="00483909">
      <w:pPr>
        <w:pStyle w:val="Version"/>
        <w:sectPr w:rsidSect="00BB49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49FD" w:rsidP="00BB49FD">
      <w:pPr>
        <w:pStyle w:val="SuperHeading"/>
      </w:pPr>
      <w:r w:rsidRPr="00BB49FD">
        <w:t>PSPREG044 Conduct prosecutions</w:t>
      </w:r>
    </w:p>
    <w:p w:rsidR="00000000" w:rsidRPr="00BB49FD" w:rsidP="00BB49FD">
      <w:pPr>
        <w:pStyle w:val="Heading1"/>
      </w:pPr>
      <w:bookmarkStart w:id="1" w:name="O_1217073"/>
      <w:bookmarkEnd w:id="1"/>
      <w:r w:rsidRPr="00BB49FD">
        <w:t>Modification History</w:t>
      </w:r>
    </w:p>
    <w:p w:rsidR="00000000" w:rsidRPr="00BB49FD" w:rsidP="00483909">
      <w:pPr>
        <w:pStyle w:val="BodyText"/>
      </w:pPr>
      <w:r w:rsidRPr="00BB49FD">
        <w:t>Supersedes and is not equivalent to PSPREG020 Conduct prosecutions.</w:t>
      </w:r>
    </w:p>
    <w:p w:rsidR="00000000" w:rsidRPr="00BB49FD" w:rsidP="00BB49FD">
      <w:pPr>
        <w:pStyle w:val="Heading1"/>
      </w:pPr>
      <w:bookmarkStart w:id="2" w:name="O_1217074"/>
      <w:bookmarkEnd w:id="2"/>
      <w:r w:rsidRPr="00BB49FD">
        <w:t>Application</w:t>
      </w:r>
    </w:p>
    <w:p w:rsidR="00000000" w:rsidRPr="00BB49FD" w:rsidP="00483909">
      <w:pPr>
        <w:pStyle w:val="BodyText"/>
      </w:pPr>
      <w:r w:rsidRPr="00BB49FD">
        <w:t>This unit describes the performance outcomes, skills and knowledge required to review a brief of evidence and prosecute offences while a</w:t>
      </w:r>
      <w:r w:rsidRPr="00BB49FD">
        <w:t>cting as the prosecutor in court.</w:t>
      </w:r>
    </w:p>
    <w:p w:rsidR="00000000" w:rsidRPr="00BB49FD" w:rsidP="00483909">
      <w:pPr>
        <w:pStyle w:val="BodyText"/>
      </w:pPr>
      <w:r w:rsidRPr="00BB49FD">
        <w:t>This unit applies to those working in public sector roles conducting regulatory activities. Those undertaking this unit work autonomously, performing complex tasks in a range of familiar and unfamiliar contexts.</w:t>
      </w:r>
    </w:p>
    <w:p w:rsidR="00000000" w:rsidRPr="00BB49FD" w:rsidP="00483909">
      <w:pPr>
        <w:pStyle w:val="BodyText"/>
      </w:pPr>
      <w:r w:rsidRPr="00BB49FD">
        <w:t>The skills</w:t>
      </w:r>
      <w:r w:rsidRPr="00BB49FD">
        <w:t xml:space="preserve"> in this unit must be applied in accordance with Commonwealth and State or Territory legislation, Australian standards and industry codes of practice.</w:t>
      </w:r>
    </w:p>
    <w:p w:rsidR="00000000" w:rsidRPr="00BB49FD" w:rsidP="00483909">
      <w:pPr>
        <w:pStyle w:val="BodyText"/>
      </w:pPr>
      <w:r w:rsidRPr="00BB49FD">
        <w:t>No occupational licensing, certification or specific legislative requirements apply to this unit at the t</w:t>
      </w:r>
      <w:r w:rsidRPr="00BB49FD">
        <w:t>ime of publication.</w:t>
      </w:r>
    </w:p>
    <w:p w:rsidR="00000000" w:rsidRPr="00BB49FD" w:rsidP="00BB49FD">
      <w:pPr>
        <w:pStyle w:val="Heading1"/>
      </w:pPr>
      <w:bookmarkStart w:id="3" w:name="O_1217075"/>
      <w:bookmarkEnd w:id="3"/>
      <w:r w:rsidRPr="00BB49FD">
        <w:t>Pre-requisite Unit</w:t>
      </w:r>
    </w:p>
    <w:p w:rsidR="00000000" w:rsidRPr="00BB49FD" w:rsidP="00483909">
      <w:pPr>
        <w:pStyle w:val="BodyText"/>
      </w:pPr>
      <w:r w:rsidRPr="00BB49FD">
        <w:t xml:space="preserve">Nil </w:t>
      </w:r>
    </w:p>
    <w:p w:rsidR="00000000" w:rsidRPr="00BB49FD" w:rsidP="00BB49FD">
      <w:pPr>
        <w:pStyle w:val="Heading1"/>
      </w:pPr>
      <w:bookmarkStart w:id="4" w:name="O_1217076"/>
      <w:bookmarkEnd w:id="4"/>
      <w:r w:rsidRPr="00BB49FD">
        <w:t>Competency Field</w:t>
      </w:r>
    </w:p>
    <w:p w:rsidR="00000000" w:rsidRPr="00BB49FD" w:rsidP="00483909">
      <w:pPr>
        <w:pStyle w:val="BodyText"/>
      </w:pPr>
      <w:r w:rsidRPr="00BB49FD">
        <w:t>Regulatory</w:t>
      </w:r>
    </w:p>
    <w:p w:rsidR="00000000" w:rsidRPr="00BB49FD" w:rsidP="00BB49FD">
      <w:pPr>
        <w:pStyle w:val="Heading1"/>
      </w:pPr>
      <w:bookmarkStart w:id="5" w:name="O_1217078"/>
      <w:bookmarkEnd w:id="5"/>
      <w:r w:rsidRPr="00BB49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FD" w:rsidP="00BB49FD">
            <w:pPr>
              <w:pStyle w:val="BodyText"/>
            </w:pPr>
            <w:r w:rsidRPr="00BB49F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FD">
            <w:pPr>
              <w:pStyle w:val="BodyText"/>
              <w:rPr>
                <w:lang w:val="en-NZ"/>
              </w:rPr>
            </w:pPr>
            <w:r w:rsidRPr="00BB49FD">
              <w:rPr>
                <w:rStyle w:val="SpecialBold"/>
              </w:rPr>
              <w:t>PERFORMANCE</w:t>
            </w:r>
            <w:r w:rsidRPr="00BB49FD">
              <w:t xml:space="preserve"> </w:t>
            </w:r>
            <w:r w:rsidRPr="00BB49FD">
              <w:rPr>
                <w:rStyle w:val="SpecialBold"/>
              </w:rPr>
              <w:t>CRITERIA</w:t>
            </w:r>
          </w:p>
        </w:tc>
      </w:tr>
      <w:tr w:rsidTr="00B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FD" w:rsidP="00BB49FD">
            <w:pPr>
              <w:pStyle w:val="BodyText"/>
            </w:pPr>
            <w:r w:rsidRPr="00BB49F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FD">
            <w:pPr>
              <w:pStyle w:val="BodyText"/>
              <w:rPr>
                <w:lang w:val="en-NZ"/>
              </w:rPr>
            </w:pPr>
            <w:r w:rsidRPr="00BB49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FD">
            <w:pPr>
              <w:pStyle w:val="List"/>
              <w:rPr>
                <w:lang w:val="en-NZ"/>
              </w:rPr>
            </w:pPr>
            <w:r w:rsidRPr="00BB49FD">
              <w:t>1.  Prepare for prosecution.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FD" w:rsidP="00BB49FD">
            <w:pPr>
              <w:pStyle w:val="List"/>
            </w:pPr>
            <w:r w:rsidRPr="00BB49FD">
              <w:t>1.1. Review and clarify brief of evidence with the authorised officer prior to court proceedings.</w:t>
            </w:r>
          </w:p>
          <w:p w:rsidR="00000000" w:rsidRPr="00BB49FD" w:rsidP="00BB49FD">
            <w:pPr>
              <w:pStyle w:val="List"/>
            </w:pPr>
            <w:r w:rsidRPr="00BB49FD">
              <w:t>1.2. Identify relevant precedent</w:t>
            </w:r>
            <w:r w:rsidRPr="00BB49FD">
              <w:t>s.</w:t>
            </w:r>
          </w:p>
          <w:p w:rsidR="00000000" w:rsidRPr="00BB49FD" w:rsidP="00BB49FD">
            <w:pPr>
              <w:pStyle w:val="List"/>
            </w:pPr>
            <w:r w:rsidRPr="00BB49FD">
              <w:t>1.3. Prepare questions to address the facts of the brief.</w:t>
            </w:r>
          </w:p>
          <w:p w:rsidR="00000000" w:rsidRPr="00BB49FD" w:rsidP="00BB49FD">
            <w:pPr>
              <w:pStyle w:val="List"/>
            </w:pPr>
            <w:r w:rsidRPr="00BB49FD">
              <w:t>1.4. Brief personnel involved.</w:t>
            </w:r>
          </w:p>
          <w:p w:rsidR="00000000" w:rsidP="00BB49FD">
            <w:pPr>
              <w:pStyle w:val="List"/>
              <w:rPr>
                <w:lang w:val="en-NZ"/>
              </w:rPr>
            </w:pPr>
            <w:r w:rsidRPr="00BB49FD">
              <w:t>1.5. Agree upon parameters for negotiating out of court prior to prosecution with authorised organisational personnel.</w:t>
            </w:r>
          </w:p>
        </w:tc>
      </w:tr>
      <w:tr w:rsidTr="00BB49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49FD">
            <w:pPr>
              <w:pStyle w:val="List"/>
              <w:rPr>
                <w:lang w:val="en-NZ"/>
              </w:rPr>
            </w:pPr>
            <w:r w:rsidRPr="00BB49FD">
              <w:t xml:space="preserve">2.  Conduct a </w:t>
            </w:r>
            <w:r w:rsidRPr="00BB49FD">
              <w:t>prosecution.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49FD" w:rsidP="00BB49FD">
            <w:pPr>
              <w:pStyle w:val="List"/>
            </w:pPr>
            <w:r w:rsidRPr="00BB49FD">
              <w:t>2.1. Follow evide</w:t>
            </w:r>
            <w:r w:rsidRPr="00BB49FD">
              <w:t xml:space="preserve">ntiary procedures and conduct prosecution </w:t>
            </w:r>
            <w:r w:rsidRPr="00BB49FD">
              <w:t>according to court processes, protocols, rules of evidence and organisational instructions.</w:t>
            </w:r>
          </w:p>
          <w:p w:rsidR="00000000" w:rsidRPr="00BB49FD" w:rsidP="00BB49FD">
            <w:pPr>
              <w:pStyle w:val="List"/>
            </w:pPr>
            <w:r w:rsidRPr="00BB49FD">
              <w:t>2.2. Maintain personal presentation to meet organisational standards.</w:t>
            </w:r>
          </w:p>
          <w:p w:rsidR="00000000" w:rsidRPr="00BB49FD" w:rsidP="00BB49FD">
            <w:pPr>
              <w:pStyle w:val="List"/>
            </w:pPr>
            <w:r w:rsidRPr="00BB49FD">
              <w:t>2.3. Complete file endorsements in accordance with r</w:t>
            </w:r>
            <w:r w:rsidRPr="00BB49FD">
              <w:t>equired procedures.</w:t>
            </w:r>
          </w:p>
          <w:p w:rsidR="00000000" w:rsidRPr="00BB49FD" w:rsidP="00BB49FD">
            <w:pPr>
              <w:pStyle w:val="List"/>
            </w:pPr>
            <w:r w:rsidRPr="00BB49FD">
              <w:t>2.4. Follow up or complete matters arising from proceedings.</w:t>
            </w:r>
          </w:p>
          <w:p w:rsidR="00000000" w:rsidRPr="00BB49FD" w:rsidP="00BB49FD">
            <w:pPr>
              <w:pStyle w:val="List"/>
            </w:pPr>
            <w:r w:rsidRPr="00BB49FD">
              <w:t>2.5. Review the outcome of the prosecution to provide input or recommendations for handling future cases.</w:t>
            </w:r>
          </w:p>
        </w:tc>
      </w:tr>
    </w:tbl>
    <w:p w:rsidR="00000000" w:rsidRPr="00BB49FD" w:rsidP="00BB49FD">
      <w:pPr>
        <w:pStyle w:val="BodyText"/>
      </w:pPr>
    </w:p>
    <w:p w:rsidR="00000000" w:rsidRPr="00BB49FD" w:rsidP="00BB49FD">
      <w:pPr>
        <w:pStyle w:val="AllowPageBreak"/>
      </w:pPr>
    </w:p>
    <w:p w:rsidR="00000000" w:rsidRPr="00BB49FD" w:rsidP="00BB49FD">
      <w:pPr>
        <w:pStyle w:val="Heading1"/>
      </w:pPr>
      <w:bookmarkStart w:id="6" w:name="O_1217079"/>
      <w:bookmarkEnd w:id="6"/>
      <w:r w:rsidRPr="00BB49FD">
        <w:t>Foundation Skills</w:t>
      </w:r>
    </w:p>
    <w:p w:rsidR="00000000" w:rsidRPr="00BB49FD" w:rsidP="00483909">
      <w:pPr>
        <w:pStyle w:val="BodyText"/>
      </w:pPr>
      <w:r w:rsidRPr="00BB49FD">
        <w:t>Foundation skills essential to performance are explicit in the performance criteria of this unit of competency.</w:t>
      </w:r>
    </w:p>
    <w:p w:rsidR="00000000" w:rsidRPr="00BB49FD" w:rsidP="00BB49FD">
      <w:pPr>
        <w:pStyle w:val="Heading1"/>
      </w:pPr>
      <w:bookmarkStart w:id="7" w:name="O_1217081"/>
      <w:bookmarkEnd w:id="7"/>
      <w:r w:rsidRPr="00BB49FD">
        <w:t>Unit Mapping Information</w:t>
      </w:r>
    </w:p>
    <w:p w:rsidR="00000000" w:rsidRPr="00BB49FD" w:rsidP="00483909">
      <w:pPr>
        <w:pStyle w:val="BodyText"/>
      </w:pPr>
      <w:r w:rsidRPr="00BB49FD">
        <w:t>Supersedes and is not equivalent to PSPREG020 Conduct prosecutions.</w:t>
      </w:r>
    </w:p>
    <w:p w:rsidR="00000000" w:rsidRPr="00BB49FD" w:rsidP="00BB49FD">
      <w:pPr>
        <w:pStyle w:val="Heading1"/>
      </w:pPr>
      <w:bookmarkStart w:id="8" w:name="O_1217088"/>
      <w:bookmarkEnd w:id="8"/>
      <w:r w:rsidRPr="00BB49FD">
        <w:t>Links</w:t>
      </w:r>
    </w:p>
    <w:p w:rsidR="00000000" w:rsidRPr="00BB49FD" w:rsidP="00483909">
      <w:pPr>
        <w:pStyle w:val="BodyText"/>
      </w:pPr>
      <w:r w:rsidRPr="00BB49FD">
        <w:t>Compani</w:t>
      </w:r>
      <w:r w:rsidRPr="00BB49FD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69B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B49FD" w:rsidP="00483909">
      <w:pPr>
        <w:pStyle w:val="BodyText"/>
        <w:sectPr w:rsidSect="00BB49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49FD" w:rsidP="00BB49FD">
      <w:pPr>
        <w:pStyle w:val="SuperHeading"/>
      </w:pPr>
      <w:r w:rsidRPr="00BB49FD">
        <w:t>Assessment Requirements for PSPREG044 Conduct prosecutions</w:t>
      </w:r>
    </w:p>
    <w:p w:rsidR="00000000" w:rsidRPr="00BB49FD" w:rsidP="00BB49FD">
      <w:pPr>
        <w:pStyle w:val="Heading1"/>
      </w:pPr>
      <w:bookmarkStart w:id="9" w:name="O_1217083"/>
      <w:bookmarkEnd w:id="9"/>
      <w:r w:rsidRPr="00BB49FD">
        <w:t>Modification History</w:t>
      </w:r>
    </w:p>
    <w:p w:rsidR="00000000" w:rsidRPr="00BB49FD" w:rsidP="00483909">
      <w:pPr>
        <w:pStyle w:val="BodyText"/>
      </w:pPr>
      <w:r w:rsidRPr="00BB49FD">
        <w:t>Supersedes and is not equivalent to PSPREG020 Conduct prosecutions.</w:t>
      </w:r>
    </w:p>
    <w:p w:rsidR="00000000" w:rsidRPr="00BB49FD" w:rsidP="00BB49FD">
      <w:pPr>
        <w:pStyle w:val="Heading1"/>
      </w:pPr>
      <w:bookmarkStart w:id="10" w:name="O_1217084"/>
      <w:bookmarkEnd w:id="10"/>
      <w:r w:rsidRPr="00BB49FD">
        <w:t>Performance Evidence</w:t>
      </w:r>
    </w:p>
    <w:p w:rsidR="00000000" w:rsidRPr="00BB49FD" w:rsidP="00483909">
      <w:pPr>
        <w:pStyle w:val="BodyText"/>
      </w:pPr>
      <w:r w:rsidRPr="00BB49FD">
        <w:t>Evidence of the ability to complete tasks outlined in elements and performance criteria of this unit in the context of t</w:t>
      </w:r>
      <w:r w:rsidRPr="00BB49FD">
        <w:t>he job role, and:</w:t>
      </w:r>
    </w:p>
    <w:p w:rsidR="00000000" w:rsidRPr="00BB49FD" w:rsidP="00BB49FD">
      <w:pPr>
        <w:pStyle w:val="ListBullet"/>
      </w:pPr>
      <w:r w:rsidRPr="00BB49FD">
        <w:t>make presentations, including participating in complex oral exchanges, in two briefing sessions and in two court proceedings and:</w:t>
      </w:r>
    </w:p>
    <w:p w:rsidR="00000000" w:rsidRPr="00BB49FD" w:rsidP="00BB49FD">
      <w:pPr>
        <w:pStyle w:val="ListBullet"/>
      </w:pPr>
      <w:r w:rsidRPr="00BB49FD">
        <w:t>on at least two occasions:</w:t>
      </w:r>
    </w:p>
    <w:p w:rsidR="00000000" w:rsidRPr="00BB49FD" w:rsidP="00BB49FD">
      <w:pPr>
        <w:pStyle w:val="ListBullet2"/>
      </w:pPr>
      <w:r w:rsidRPr="00BB49FD">
        <w:t>read complex, lengthy documents to ascertain key elements</w:t>
      </w:r>
    </w:p>
    <w:p w:rsidR="00000000" w:rsidRPr="00BB49FD" w:rsidP="00BB49FD">
      <w:pPr>
        <w:pStyle w:val="ListBullet2"/>
      </w:pPr>
      <w:r w:rsidRPr="00BB49FD">
        <w:t>undertake research to identify precedents.</w:t>
      </w:r>
    </w:p>
    <w:p w:rsidR="00000000" w:rsidRPr="00BB49FD" w:rsidP="00BB49FD">
      <w:pPr>
        <w:pStyle w:val="AllowPageBreak"/>
      </w:pPr>
    </w:p>
    <w:p w:rsidR="00000000" w:rsidRPr="00BB49FD" w:rsidP="00BB49FD">
      <w:pPr>
        <w:pStyle w:val="Heading1"/>
      </w:pPr>
      <w:bookmarkStart w:id="11" w:name="O_1217085"/>
      <w:bookmarkEnd w:id="11"/>
      <w:r w:rsidRPr="00BB49FD">
        <w:t>Knowledge Evidence</w:t>
      </w:r>
    </w:p>
    <w:p w:rsidR="00000000" w:rsidRPr="00BB49FD" w:rsidP="00483909">
      <w:pPr>
        <w:pStyle w:val="BodyText"/>
      </w:pPr>
      <w:r w:rsidRPr="00BB49FD">
        <w:t>Demonstrated knowledge required to complete the tasks outlined in elements and performance criteria of this unit:</w:t>
      </w:r>
    </w:p>
    <w:p w:rsidR="00000000" w:rsidRPr="00BB49FD" w:rsidP="00BB49FD">
      <w:pPr>
        <w:pStyle w:val="ListBullet"/>
      </w:pPr>
      <w:r w:rsidRPr="00BB49FD">
        <w:t>court prosecution process, procedures and protocols</w:t>
      </w:r>
    </w:p>
    <w:p w:rsidR="00000000" w:rsidRPr="00BB49FD" w:rsidP="00BB49FD">
      <w:pPr>
        <w:pStyle w:val="ListBullet"/>
      </w:pPr>
      <w:r w:rsidRPr="00BB49FD">
        <w:t>court conduct</w:t>
      </w:r>
    </w:p>
    <w:p w:rsidR="00000000" w:rsidRPr="00BB49FD" w:rsidP="00BB49FD">
      <w:pPr>
        <w:pStyle w:val="ListBullet"/>
      </w:pPr>
      <w:r w:rsidRPr="00BB49FD">
        <w:t>enabling legislation and offences</w:t>
      </w:r>
    </w:p>
    <w:p w:rsidR="00000000" w:rsidRPr="00BB49FD" w:rsidP="00BB49FD">
      <w:pPr>
        <w:pStyle w:val="ListBullet"/>
      </w:pPr>
      <w:r w:rsidRPr="00BB49FD">
        <w:t>sections of the Evidence Act relating to:</w:t>
      </w:r>
    </w:p>
    <w:p w:rsidR="00000000" w:rsidRPr="00BB49FD" w:rsidP="00BB49FD">
      <w:pPr>
        <w:pStyle w:val="ListBullet2"/>
      </w:pPr>
      <w:r w:rsidRPr="00BB49FD">
        <w:t>types of evidence</w:t>
      </w:r>
    </w:p>
    <w:p w:rsidR="00000000" w:rsidRPr="00BB49FD" w:rsidP="00BB49FD">
      <w:pPr>
        <w:pStyle w:val="ListBullet2"/>
      </w:pPr>
      <w:r w:rsidRPr="00BB49FD">
        <w:t>rules of evidence</w:t>
      </w:r>
    </w:p>
    <w:p w:rsidR="00000000" w:rsidRPr="00BB49FD" w:rsidP="00BB49FD">
      <w:pPr>
        <w:pStyle w:val="ListBullet2"/>
      </w:pPr>
      <w:r w:rsidRPr="00BB49FD">
        <w:t>possible defences</w:t>
      </w:r>
    </w:p>
    <w:p w:rsidR="00000000" w:rsidRPr="00BB49FD" w:rsidP="00BB49FD">
      <w:pPr>
        <w:pStyle w:val="ListBullet2"/>
      </w:pPr>
      <w:r w:rsidRPr="00BB49FD">
        <w:t>burden of proof</w:t>
      </w:r>
    </w:p>
    <w:p w:rsidR="00000000" w:rsidRPr="00BB49FD" w:rsidP="00BB49FD">
      <w:pPr>
        <w:pStyle w:val="ListBullet2"/>
      </w:pPr>
      <w:r w:rsidRPr="00BB49FD">
        <w:t>role of expert witnesses</w:t>
      </w:r>
    </w:p>
    <w:p w:rsidR="00000000" w:rsidRPr="00BB49FD" w:rsidP="00BB49FD">
      <w:pPr>
        <w:pStyle w:val="ListBullet2"/>
      </w:pPr>
      <w:r w:rsidRPr="00BB49FD">
        <w:t>hearsay</w:t>
      </w:r>
    </w:p>
    <w:p w:rsidR="00000000" w:rsidRPr="00BB49FD" w:rsidP="00BB49FD">
      <w:pPr>
        <w:pStyle w:val="ListBullet"/>
      </w:pPr>
      <w:r w:rsidRPr="00BB49FD">
        <w:t>legislation in the context of conducting prosecutions.</w:t>
      </w:r>
    </w:p>
    <w:p w:rsidR="00000000" w:rsidRPr="00BB49FD" w:rsidP="00BB49FD">
      <w:pPr>
        <w:pStyle w:val="AllowPageBreak"/>
      </w:pPr>
    </w:p>
    <w:p w:rsidR="00000000" w:rsidRPr="00BB49FD" w:rsidP="00BB49FD">
      <w:pPr>
        <w:pStyle w:val="Heading1"/>
      </w:pPr>
      <w:bookmarkStart w:id="12" w:name="O_1217086"/>
      <w:bookmarkEnd w:id="12"/>
      <w:r w:rsidRPr="00BB49FD">
        <w:t>Assessment Conditions</w:t>
      </w:r>
    </w:p>
    <w:p w:rsidR="00000000" w:rsidRPr="00BB49FD" w:rsidP="00483909">
      <w:pPr>
        <w:pStyle w:val="BodyText"/>
      </w:pPr>
      <w:r w:rsidRPr="00BB49FD">
        <w:t xml:space="preserve">Skills must be demonstrated in the workplace or in a simulated environment that reflects workplace conditions. </w:t>
      </w:r>
    </w:p>
    <w:p w:rsidR="00000000" w:rsidRPr="00BB49FD" w:rsidP="00483909">
      <w:pPr>
        <w:pStyle w:val="BodyText"/>
      </w:pPr>
      <w:r w:rsidRPr="00BB49FD">
        <w:t>Assessment must ensure access to:</w:t>
      </w:r>
    </w:p>
    <w:p w:rsidR="00000000" w:rsidRPr="00BB49FD" w:rsidP="00BB49FD">
      <w:pPr>
        <w:pStyle w:val="ListBullet"/>
      </w:pPr>
      <w:r w:rsidRPr="00BB49FD">
        <w:t>legislation, court procedures and protocols in the context of conduct</w:t>
      </w:r>
      <w:r w:rsidRPr="00BB49FD">
        <w:t xml:space="preserve">ing prosecutions </w:t>
      </w:r>
    </w:p>
    <w:p w:rsidR="00000000" w:rsidRPr="00BB49FD" w:rsidP="00BB49FD">
      <w:pPr>
        <w:pStyle w:val="ListBullet"/>
      </w:pPr>
      <w:r w:rsidRPr="00BB49FD">
        <w:t>resources and equipment of the working environment.</w:t>
      </w:r>
    </w:p>
    <w:p w:rsidR="00000000" w:rsidRPr="00BB49FD" w:rsidP="00483909">
      <w:pPr>
        <w:pStyle w:val="BodyText"/>
      </w:pPr>
      <w:r w:rsidRPr="00BB49FD">
        <w:t>Assessors must satisfy the Standards for Registered Training Organisations’ requirements for assessors.</w:t>
      </w:r>
    </w:p>
    <w:p w:rsidR="00000000" w:rsidRPr="00BB49FD" w:rsidP="00BB49FD">
      <w:pPr>
        <w:pStyle w:val="Heading1"/>
      </w:pPr>
      <w:bookmarkStart w:id="13" w:name="O_1217089"/>
      <w:bookmarkEnd w:id="13"/>
      <w:r w:rsidRPr="00BB49FD">
        <w:t>Links</w:t>
      </w:r>
    </w:p>
    <w:p w:rsidR="00000000" w:rsidRPr="00BB49FD" w:rsidP="00483909">
      <w:pPr>
        <w:pStyle w:val="BodyText"/>
      </w:pPr>
      <w:r w:rsidRPr="00BB49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69B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B49FD" w:rsidP="00BB49FD"/>
    <w:sectPr w:rsidSect="00BB49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FD" w:rsidRPr="00483909" w:rsidP="00483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09" w:rsidP="00BB4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909" w:rsidP="00BB4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83909" w:rsidP="00BB49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FD" w:rsidP="00BB49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3909">
      <w:t>Approved</w:t>
    </w:r>
    <w:r w:rsidR="004839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39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3909">
      <w:rPr>
        <w:noProof/>
      </w:rPr>
      <w:t>4</w:t>
    </w:r>
    <w:r>
      <w:rPr>
        <w:noProof/>
      </w:rPr>
      <w:fldChar w:fldCharType="end"/>
    </w:r>
  </w:p>
  <w:p w:rsidR="00BB49FD" w:rsidP="00BB49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39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3909">
      <w:t>Public Skills Australia</w:t>
    </w:r>
    <w:r w:rsidR="00483909">
      <w:fldChar w:fldCharType="end"/>
    </w:r>
  </w:p>
  <w:p w:rsidR="00BB49FD" w:rsidP="00BB49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49FD" w:rsidRPr="00483909" w:rsidP="00483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09" w:rsidRPr="002D2AF8" w:rsidP="00BB4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PSPREG044 Conduct prosecutions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3909" w:rsidP="00BB49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9FD" w:rsidRPr="002D2AF8" w:rsidP="00BB49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3909">
      <w:t>PSPREG044 Conduct prosecutions</w:t>
    </w:r>
    <w:r w:rsidR="004839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3909">
      <w:rPr>
        <w:noProof/>
      </w:rPr>
      <w:t>2 March 2025</w:t>
    </w:r>
    <w:r>
      <w:fldChar w:fldCharType="end"/>
    </w:r>
  </w:p>
  <w:p w:rsidR="00BB49FD" w:rsidP="00BB49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38C9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5A72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B495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9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49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49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49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49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49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49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49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49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49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49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49FD"/>
  </w:style>
  <w:style w:type="character" w:customStyle="1" w:styleId="Heading1Char">
    <w:name w:val="Heading 1 Char"/>
    <w:basedOn w:val="DefaultParagraphFont"/>
    <w:link w:val="Heading1"/>
    <w:rsid w:val="00BB49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49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49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49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49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49FD"/>
    <w:rPr>
      <w:b/>
      <w:spacing w:val="0"/>
    </w:rPr>
  </w:style>
  <w:style w:type="paragraph" w:styleId="ListBullet2">
    <w:name w:val="List Bullet 2"/>
    <w:basedOn w:val="List2"/>
    <w:rsid w:val="00BB49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49FD"/>
    <w:rPr>
      <w:i/>
    </w:rPr>
  </w:style>
  <w:style w:type="paragraph" w:customStyle="1" w:styleId="SuperHeading">
    <w:name w:val="SuperHeading"/>
    <w:basedOn w:val="Normal"/>
    <w:rsid w:val="00BB49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49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49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49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49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4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49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4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49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49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49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49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49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49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49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49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49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49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49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49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49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49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49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49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49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49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49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49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49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49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49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49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49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49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49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49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49FD"/>
  </w:style>
  <w:style w:type="paragraph" w:styleId="TableofFigures">
    <w:name w:val="table of figures"/>
    <w:basedOn w:val="Normal"/>
    <w:next w:val="Normal"/>
    <w:semiHidden/>
    <w:rsid w:val="00BB49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49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49FD"/>
    <w:rPr>
      <w:rFonts w:ascii="Wingdings" w:hAnsi="Wingdings"/>
    </w:rPr>
  </w:style>
  <w:style w:type="paragraph" w:customStyle="1" w:styleId="TableHeading">
    <w:name w:val="Table Heading"/>
    <w:basedOn w:val="HeadingBase"/>
    <w:rsid w:val="00BB49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49FD"/>
    <w:rPr>
      <w:color w:val="0033CC"/>
      <w:u w:val="none"/>
    </w:rPr>
  </w:style>
  <w:style w:type="paragraph" w:customStyle="1" w:styleId="BodyTextRight">
    <w:name w:val="Body Text Right"/>
    <w:basedOn w:val="BodyText"/>
    <w:rsid w:val="00BB49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49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49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49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49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49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49FD"/>
    <w:rPr>
      <w:sz w:val="32"/>
    </w:rPr>
  </w:style>
  <w:style w:type="paragraph" w:customStyle="1" w:styleId="HeadingProcedure">
    <w:name w:val="Heading Procedure"/>
    <w:basedOn w:val="HeadingBase"/>
    <w:next w:val="Normal"/>
    <w:rsid w:val="00BB49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49FD"/>
    <w:pPr>
      <w:spacing w:before="60" w:after="60"/>
    </w:pPr>
  </w:style>
  <w:style w:type="paragraph" w:styleId="ListContinue">
    <w:name w:val="List Continue"/>
    <w:basedOn w:val="List"/>
    <w:rsid w:val="00BB49FD"/>
    <w:pPr>
      <w:ind w:firstLine="0"/>
    </w:pPr>
  </w:style>
  <w:style w:type="paragraph" w:customStyle="1" w:styleId="ListNote">
    <w:name w:val="List Note"/>
    <w:basedOn w:val="List"/>
    <w:rsid w:val="00BB49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49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49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49FD"/>
    <w:rPr>
      <w:rFonts w:ascii="Courier New" w:hAnsi="Courier New"/>
    </w:rPr>
  </w:style>
  <w:style w:type="paragraph" w:customStyle="1" w:styleId="NoteBullet">
    <w:name w:val="Note Bullet"/>
    <w:basedOn w:val="Note"/>
    <w:rsid w:val="00BB49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49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49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49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49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49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49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49FD"/>
    <w:rPr>
      <w:b/>
      <w:smallCaps/>
    </w:rPr>
  </w:style>
  <w:style w:type="paragraph" w:customStyle="1" w:styleId="TableListNumber">
    <w:name w:val="Table List Number"/>
    <w:basedOn w:val="ListNumber"/>
    <w:rsid w:val="00BB49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49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49FD"/>
    <w:pPr>
      <w:numPr>
        <w:numId w:val="9"/>
      </w:numPr>
    </w:pPr>
  </w:style>
  <w:style w:type="paragraph" w:customStyle="1" w:styleId="ListAlpha2">
    <w:name w:val="List Alpha 2"/>
    <w:basedOn w:val="List2"/>
    <w:rsid w:val="00BB49FD"/>
    <w:pPr>
      <w:numPr>
        <w:numId w:val="8"/>
      </w:numPr>
    </w:pPr>
  </w:style>
  <w:style w:type="paragraph" w:styleId="List2">
    <w:name w:val="List 2"/>
    <w:basedOn w:val="BodyText"/>
    <w:rsid w:val="00BB49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49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49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49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49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49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49FD"/>
    <w:pPr>
      <w:numPr>
        <w:numId w:val="4"/>
      </w:numPr>
    </w:pPr>
  </w:style>
  <w:style w:type="paragraph" w:styleId="ListContinue2">
    <w:name w:val="List Continue 2"/>
    <w:basedOn w:val="List2"/>
    <w:rsid w:val="00BB49FD"/>
    <w:pPr>
      <w:ind w:firstLine="0"/>
    </w:pPr>
  </w:style>
  <w:style w:type="paragraph" w:styleId="ListContinue3">
    <w:name w:val="List Continue 3"/>
    <w:basedOn w:val="List3"/>
    <w:rsid w:val="00BB49FD"/>
    <w:pPr>
      <w:ind w:left="1021" w:firstLine="0"/>
    </w:pPr>
  </w:style>
  <w:style w:type="paragraph" w:styleId="ListContinue4">
    <w:name w:val="List Continue 4"/>
    <w:basedOn w:val="List4"/>
    <w:rsid w:val="00BB49FD"/>
    <w:pPr>
      <w:ind w:firstLine="0"/>
    </w:pPr>
  </w:style>
  <w:style w:type="paragraph" w:styleId="ListContinue5">
    <w:name w:val="List Continue 5"/>
    <w:basedOn w:val="List5"/>
    <w:rsid w:val="00BB49FD"/>
    <w:pPr>
      <w:ind w:firstLine="0"/>
    </w:pPr>
  </w:style>
  <w:style w:type="paragraph" w:styleId="ListNumber3">
    <w:name w:val="List Number 3"/>
    <w:basedOn w:val="List3"/>
    <w:rsid w:val="00BB49FD"/>
    <w:pPr>
      <w:numPr>
        <w:numId w:val="5"/>
      </w:numPr>
    </w:pPr>
  </w:style>
  <w:style w:type="paragraph" w:styleId="ListNumber4">
    <w:name w:val="List Number 4"/>
    <w:basedOn w:val="List4"/>
    <w:rsid w:val="00BB49FD"/>
    <w:pPr>
      <w:numPr>
        <w:numId w:val="6"/>
      </w:numPr>
    </w:pPr>
  </w:style>
  <w:style w:type="paragraph" w:styleId="ListNumber5">
    <w:name w:val="List Number 5"/>
    <w:basedOn w:val="List5"/>
    <w:rsid w:val="00BB49FD"/>
    <w:pPr>
      <w:numPr>
        <w:numId w:val="7"/>
      </w:numPr>
    </w:pPr>
  </w:style>
  <w:style w:type="paragraph" w:styleId="BlockText">
    <w:name w:val="Block Text"/>
    <w:basedOn w:val="Normal"/>
    <w:rsid w:val="00BB49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49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49FD"/>
    <w:rPr>
      <w:sz w:val="16"/>
      <w:vertAlign w:val="superscript"/>
    </w:rPr>
  </w:style>
  <w:style w:type="character" w:customStyle="1" w:styleId="Symbols">
    <w:name w:val="Symbols"/>
    <w:basedOn w:val="DefaultParagraphFont"/>
    <w:rsid w:val="00BB49FD"/>
    <w:rPr>
      <w:rFonts w:ascii="Symbol" w:hAnsi="Symbol"/>
    </w:rPr>
  </w:style>
  <w:style w:type="character" w:customStyle="1" w:styleId="MenuOptions">
    <w:name w:val="Menu Options"/>
    <w:basedOn w:val="DefaultParagraphFont"/>
    <w:rsid w:val="00BB49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49FD"/>
    <w:rPr>
      <w:b/>
    </w:rPr>
  </w:style>
  <w:style w:type="character" w:customStyle="1" w:styleId="Underlined">
    <w:name w:val="Underlined"/>
    <w:basedOn w:val="DefaultParagraphFont"/>
    <w:rsid w:val="00BB49FD"/>
    <w:rPr>
      <w:u w:val="single"/>
    </w:rPr>
  </w:style>
  <w:style w:type="paragraph" w:customStyle="1" w:styleId="TableBodyTextRight">
    <w:name w:val="Table Body Text Right"/>
    <w:basedOn w:val="TableBodyText"/>
    <w:rsid w:val="00BB49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49FD"/>
    <w:rPr>
      <w:sz w:val="18"/>
    </w:rPr>
  </w:style>
  <w:style w:type="paragraph" w:customStyle="1" w:styleId="BodySmallRight">
    <w:name w:val="Body Small Right"/>
    <w:basedOn w:val="BodyTextRight"/>
    <w:rsid w:val="00BB49FD"/>
    <w:rPr>
      <w:sz w:val="18"/>
      <w:szCs w:val="18"/>
    </w:rPr>
  </w:style>
  <w:style w:type="paragraph" w:customStyle="1" w:styleId="MarginEdition">
    <w:name w:val="Margin Edition"/>
    <w:basedOn w:val="MarginNote"/>
    <w:rsid w:val="00BB49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49FD"/>
    <w:rPr>
      <w:sz w:val="2"/>
      <w:szCs w:val="2"/>
    </w:rPr>
  </w:style>
  <w:style w:type="character" w:customStyle="1" w:styleId="Small">
    <w:name w:val="Small"/>
    <w:basedOn w:val="DefaultParagraphFont"/>
    <w:rsid w:val="00BB49FD"/>
    <w:rPr>
      <w:sz w:val="16"/>
    </w:rPr>
  </w:style>
  <w:style w:type="paragraph" w:customStyle="1" w:styleId="WideTable">
    <w:name w:val="Wide Table"/>
    <w:basedOn w:val="Normal"/>
    <w:rsid w:val="00BB49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49FD"/>
  </w:style>
  <w:style w:type="paragraph" w:styleId="Quote">
    <w:name w:val="Quote"/>
    <w:basedOn w:val="Heading1"/>
    <w:link w:val="QuoteChar"/>
    <w:qFormat/>
    <w:rsid w:val="00BB49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49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49FD"/>
    <w:pPr>
      <w:pageBreakBefore/>
    </w:pPr>
  </w:style>
  <w:style w:type="paragraph" w:customStyle="1" w:styleId="Border">
    <w:name w:val="Border"/>
    <w:basedOn w:val="Normal"/>
    <w:qFormat/>
    <w:rsid w:val="00BB49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49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9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9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49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49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49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49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49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49FD"/>
    <w:rPr>
      <w:u w:val="single"/>
    </w:rPr>
  </w:style>
  <w:style w:type="character" w:customStyle="1" w:styleId="BoldandItalics">
    <w:name w:val="Bold and Italics"/>
    <w:qFormat/>
    <w:rsid w:val="00BB49FD"/>
    <w:rPr>
      <w:b/>
      <w:i/>
      <w:u w:val="none"/>
    </w:rPr>
  </w:style>
  <w:style w:type="paragraph" w:styleId="BalloonText">
    <w:name w:val="Balloon Text"/>
    <w:basedOn w:val="Normal"/>
    <w:link w:val="BalloonTextChar"/>
    <w:rsid w:val="00BB49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49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49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49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49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49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49FD"/>
    <w:pPr>
      <w:spacing w:before="0" w:after="0"/>
    </w:pPr>
  </w:style>
  <w:style w:type="paragraph" w:customStyle="1" w:styleId="BodyTextBold">
    <w:name w:val="Body Text Bold"/>
    <w:basedOn w:val="BodyText"/>
    <w:qFormat/>
    <w:rsid w:val="00BB49FD"/>
    <w:rPr>
      <w:b/>
    </w:rPr>
  </w:style>
  <w:style w:type="character" w:styleId="Hyperlink">
    <w:name w:val="Hyperlink"/>
    <w:basedOn w:val="DefaultParagraphFont"/>
    <w:uiPriority w:val="99"/>
    <w:unhideWhenUsed/>
    <w:rsid w:val="00483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3626</Characters>
  <Application>Microsoft Office Word</Application>
  <DocSecurity>0</DocSecurity>
  <Lines>113</Lines>
  <Paragraphs>81</Paragraphs>
  <ScaleCrop>false</ScaleCrop>
  <Company>Author-it Software Corporation Ltd.</Company>
  <LinksUpToDate>false</LinksUpToDate>
  <CharactersWithSpaces>4088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PSPREG044 Conduct prosecutions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2025-03-01T14:05:00Z</dcterms:created>
  <dcterms:modified xsi:type="dcterms:W3CDTF">2025-03-01T14:05:00Z</dcterms:modified>
</cp:coreProperties>
</file>