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80EAA" w:rsidP="00B80EA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PSPREG043 Undertake compliance audits</w:t>
      </w:r>
      <w:r>
        <w:fldChar w:fldCharType="end"/>
      </w:r>
    </w:p>
    <w:p w:rsidR="00B80EAA" w:rsidP="00B80EAA">
      <w:pPr>
        <w:pStyle w:val="Version"/>
        <w:sectPr w:rsidSect="00A5405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5405D" w:rsidP="00A5405D">
      <w:pPr>
        <w:pStyle w:val="SuperHeading"/>
      </w:pPr>
      <w:r w:rsidRPr="00A5405D">
        <w:t>PSPREG043 Undertake compliance audits</w:t>
      </w:r>
    </w:p>
    <w:p w:rsidR="00000000" w:rsidRPr="00A5405D" w:rsidP="00A5405D">
      <w:pPr>
        <w:pStyle w:val="Heading1"/>
      </w:pPr>
      <w:bookmarkStart w:id="1" w:name="O_1217054"/>
      <w:bookmarkEnd w:id="1"/>
      <w:r w:rsidRPr="00A5405D">
        <w:t>Modification History</w:t>
      </w:r>
    </w:p>
    <w:p w:rsidR="00000000" w:rsidRPr="00A5405D" w:rsidP="00B80EAA">
      <w:pPr>
        <w:pStyle w:val="BodyText"/>
      </w:pPr>
      <w:r w:rsidRPr="00A5405D">
        <w:t xml:space="preserve">Supersedes and is not equivalent to PSPREG017 Undertake compliance audits. </w:t>
      </w:r>
    </w:p>
    <w:p w:rsidR="00000000" w:rsidRPr="00A5405D" w:rsidP="00A5405D">
      <w:pPr>
        <w:pStyle w:val="Heading1"/>
      </w:pPr>
      <w:bookmarkStart w:id="2" w:name="O_1217055"/>
      <w:bookmarkEnd w:id="2"/>
      <w:r w:rsidRPr="00A5405D">
        <w:t>Application</w:t>
      </w:r>
    </w:p>
    <w:p w:rsidR="00000000" w:rsidRPr="00A5405D" w:rsidP="00B80EAA">
      <w:pPr>
        <w:pStyle w:val="BodyText"/>
      </w:pPr>
      <w:r w:rsidRPr="00A5405D">
        <w:t xml:space="preserve">This unit describes the performance outcomes, skills and knowledge required to perform comprehensive compliance audits. </w:t>
      </w:r>
    </w:p>
    <w:p w:rsidR="00000000" w:rsidRPr="00A5405D" w:rsidP="00B80EAA">
      <w:pPr>
        <w:pStyle w:val="BodyText"/>
      </w:pPr>
      <w:r w:rsidRPr="00A5405D">
        <w:t>This un</w:t>
      </w:r>
      <w:r w:rsidRPr="00A5405D">
        <w:t>it applies to those working in public sector roles conducting regulatory activities. Those undertaking this unit work independently as part of a team, performing complex tasks in a range of familiar contexts.</w:t>
      </w:r>
    </w:p>
    <w:p w:rsidR="00000000" w:rsidRPr="00A5405D" w:rsidP="00B80EAA">
      <w:pPr>
        <w:pStyle w:val="BodyText"/>
      </w:pPr>
      <w:r w:rsidRPr="00A5405D">
        <w:t>The skills in this unit must be applied in acco</w:t>
      </w:r>
      <w:r w:rsidRPr="00A5405D">
        <w:t>rdance with Commonwealth and State or Territory legislation, Australian standards and industry codes of practice.</w:t>
      </w:r>
    </w:p>
    <w:p w:rsidR="00000000" w:rsidRPr="00A5405D" w:rsidP="00B80EAA">
      <w:pPr>
        <w:pStyle w:val="BodyText"/>
      </w:pPr>
      <w:r w:rsidRPr="00A5405D">
        <w:t>No occupational licensing, certification or specific legislative requirements apply to this unit at the time of publication.</w:t>
      </w:r>
    </w:p>
    <w:p w:rsidR="00000000" w:rsidRPr="00A5405D" w:rsidP="00A5405D">
      <w:pPr>
        <w:pStyle w:val="Heading1"/>
      </w:pPr>
      <w:bookmarkStart w:id="3" w:name="O_1217056"/>
      <w:bookmarkEnd w:id="3"/>
      <w:r w:rsidRPr="00A5405D">
        <w:t>Pre-requisite Unit</w:t>
      </w:r>
    </w:p>
    <w:p w:rsidR="00000000" w:rsidRPr="00A5405D" w:rsidP="00B80EAA">
      <w:pPr>
        <w:pStyle w:val="BodyText"/>
      </w:pPr>
      <w:r w:rsidRPr="00A5405D">
        <w:t xml:space="preserve">Nil </w:t>
      </w:r>
    </w:p>
    <w:p w:rsidR="00000000" w:rsidRPr="00A5405D" w:rsidP="00A5405D">
      <w:pPr>
        <w:pStyle w:val="Heading1"/>
      </w:pPr>
      <w:bookmarkStart w:id="4" w:name="O_1217057"/>
      <w:bookmarkEnd w:id="4"/>
      <w:r w:rsidRPr="00A5405D">
        <w:t>Competency Field</w:t>
      </w:r>
    </w:p>
    <w:p w:rsidR="00000000" w:rsidRPr="00A5405D" w:rsidP="00B80EAA">
      <w:pPr>
        <w:pStyle w:val="BodyText"/>
      </w:pPr>
      <w:r w:rsidRPr="00A5405D">
        <w:t>Regulatory</w:t>
      </w:r>
    </w:p>
    <w:p w:rsidR="00000000" w:rsidRPr="00A5405D" w:rsidP="00A5405D">
      <w:pPr>
        <w:pStyle w:val="Heading1"/>
      </w:pPr>
      <w:bookmarkStart w:id="5" w:name="O_1217059"/>
      <w:bookmarkEnd w:id="5"/>
      <w:r w:rsidRPr="00A5405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A540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405D" w:rsidP="00A5405D">
            <w:pPr>
              <w:pStyle w:val="BodyText"/>
            </w:pPr>
            <w:r w:rsidRPr="00A5405D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05D">
            <w:pPr>
              <w:pStyle w:val="BodyText"/>
              <w:rPr>
                <w:lang w:val="en-NZ"/>
              </w:rPr>
            </w:pPr>
            <w:r w:rsidRPr="00A5405D">
              <w:rPr>
                <w:rStyle w:val="SpecialBold"/>
              </w:rPr>
              <w:t>PERFORMANCE</w:t>
            </w:r>
            <w:r w:rsidRPr="00A5405D">
              <w:t xml:space="preserve"> </w:t>
            </w:r>
            <w:r w:rsidRPr="00A5405D">
              <w:rPr>
                <w:rStyle w:val="SpecialBold"/>
              </w:rPr>
              <w:t>CRITERIA</w:t>
            </w:r>
          </w:p>
        </w:tc>
      </w:tr>
      <w:tr w:rsidTr="00A540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405D" w:rsidP="00A5405D">
            <w:pPr>
              <w:pStyle w:val="BodyText"/>
            </w:pPr>
            <w:r w:rsidRPr="00A5405D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05D">
            <w:pPr>
              <w:pStyle w:val="BodyText"/>
              <w:rPr>
                <w:lang w:val="en-NZ"/>
              </w:rPr>
            </w:pPr>
            <w:r w:rsidRPr="00A5405D">
              <w:rPr>
                <w:rStyle w:val="Emphasis"/>
              </w:rPr>
              <w:t>Performance criteria describe the performance needed to de</w:t>
            </w:r>
            <w:r w:rsidRPr="00A5405D">
              <w:rPr>
                <w:rStyle w:val="Emphasis"/>
              </w:rPr>
              <w:t>monstrate achievement of the element.</w:t>
            </w:r>
          </w:p>
        </w:tc>
      </w:tr>
      <w:tr w:rsidTr="00A540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813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05D">
            <w:pPr>
              <w:pStyle w:val="List"/>
              <w:rPr>
                <w:lang w:val="en-NZ"/>
              </w:rPr>
            </w:pPr>
            <w:r w:rsidRPr="00A5405D">
              <w:t>1.  Assist in audit planning.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405D" w:rsidP="00A5405D">
            <w:pPr>
              <w:pStyle w:val="List"/>
            </w:pPr>
            <w:r w:rsidRPr="00A5405D">
              <w:t>1.1. Identify the audit objectives, scope and focus.</w:t>
            </w:r>
          </w:p>
          <w:p w:rsidR="00000000" w:rsidRPr="00A5405D" w:rsidP="00A5405D">
            <w:pPr>
              <w:pStyle w:val="List"/>
            </w:pPr>
            <w:r w:rsidRPr="00A5405D">
              <w:t>1.2. Identify relevant operational and information systems in the audit context.</w:t>
            </w:r>
          </w:p>
          <w:p w:rsidR="00000000" w:rsidRPr="00A5405D" w:rsidP="00A5405D">
            <w:pPr>
              <w:pStyle w:val="List"/>
            </w:pPr>
            <w:r w:rsidRPr="00A5405D">
              <w:t>1.3. Identify audit team roles and key audit techniques.</w:t>
            </w:r>
          </w:p>
          <w:p w:rsidR="00000000" w:rsidRPr="00A5405D" w:rsidP="00A5405D">
            <w:pPr>
              <w:pStyle w:val="List"/>
            </w:pPr>
            <w:r w:rsidRPr="00A5405D">
              <w:t>1.4. Prepare an audit plan that meets organisational requirements and the objectives of the audit.</w:t>
            </w:r>
          </w:p>
          <w:p w:rsidR="00000000" w:rsidRPr="00A5405D" w:rsidP="00A5405D">
            <w:pPr>
              <w:pStyle w:val="List"/>
            </w:pPr>
            <w:r w:rsidRPr="00A5405D">
              <w:t>1.5. Prepare required audit documentation.</w:t>
            </w:r>
          </w:p>
          <w:p w:rsidR="00000000" w:rsidP="00A5405D">
            <w:pPr>
              <w:pStyle w:val="List"/>
              <w:rPr>
                <w:lang w:val="en-NZ"/>
              </w:rPr>
            </w:pPr>
            <w:r w:rsidRPr="00A5405D">
              <w:t>1.6. Conduct pre-audit communication with the representat</w:t>
            </w:r>
            <w:r w:rsidRPr="00A5405D">
              <w:t>ive(s) of the regulated entity to be audited.</w:t>
            </w:r>
          </w:p>
        </w:tc>
      </w:tr>
      <w:tr w:rsidTr="00A540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1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05D">
            <w:pPr>
              <w:pStyle w:val="List"/>
              <w:rPr>
                <w:lang w:val="en-NZ"/>
              </w:rPr>
            </w:pPr>
            <w:r w:rsidRPr="00A5405D">
              <w:t>2.  Undertake preliminary activities.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405D" w:rsidP="00A5405D">
            <w:pPr>
              <w:pStyle w:val="List"/>
            </w:pPr>
            <w:r w:rsidRPr="00A5405D">
              <w:t>2.1. Identify concepts, systems and reports relevant to the audit.</w:t>
            </w:r>
          </w:p>
          <w:p w:rsidR="00000000" w:rsidRPr="00A5405D" w:rsidP="00A5405D">
            <w:pPr>
              <w:pStyle w:val="List"/>
            </w:pPr>
            <w:r w:rsidRPr="00A5405D">
              <w:t>2.2. Perform analytical checks in accordance with procedures.</w:t>
            </w:r>
          </w:p>
          <w:p w:rsidR="00000000" w:rsidRPr="00A5405D" w:rsidP="00A5405D">
            <w:pPr>
              <w:pStyle w:val="List"/>
            </w:pPr>
            <w:r w:rsidRPr="00A5405D">
              <w:t xml:space="preserve">2.3. Make and consider initial assessment </w:t>
            </w:r>
            <w:r w:rsidRPr="00A5405D">
              <w:t>to ensure assessment is appropriate and accurate.</w:t>
            </w:r>
          </w:p>
          <w:p w:rsidR="00000000" w:rsidRPr="00A5405D" w:rsidP="00A5405D">
            <w:pPr>
              <w:pStyle w:val="List"/>
            </w:pPr>
            <w:r w:rsidRPr="00A5405D">
              <w:t>2.4. Identify appropriate and significant controls and design control tests.</w:t>
            </w:r>
          </w:p>
          <w:p w:rsidR="00000000" w:rsidP="00A5405D">
            <w:pPr>
              <w:pStyle w:val="List"/>
              <w:rPr>
                <w:lang w:val="en-NZ"/>
              </w:rPr>
            </w:pPr>
            <w:r w:rsidRPr="00A5405D">
              <w:t>2.5. Undertake risk assessment activities to determine risks and risk treatments.</w:t>
            </w:r>
          </w:p>
        </w:tc>
      </w:tr>
      <w:tr w:rsidTr="00A540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73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05D">
            <w:pPr>
              <w:pStyle w:val="List"/>
              <w:rPr>
                <w:lang w:val="en-NZ"/>
              </w:rPr>
            </w:pPr>
            <w:r w:rsidRPr="00A5405D">
              <w:t>3.  Undertake audit activity as a membe</w:t>
            </w:r>
            <w:r w:rsidRPr="00A5405D">
              <w:t>r of a team.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405D" w:rsidP="00A5405D">
            <w:pPr>
              <w:pStyle w:val="List"/>
            </w:pPr>
            <w:r w:rsidRPr="00A5405D">
              <w:t>3.1. Identify and apply sampling techniques to suit audit requirements.</w:t>
            </w:r>
          </w:p>
          <w:p w:rsidR="00000000" w:rsidRPr="00A5405D" w:rsidP="00A5405D">
            <w:pPr>
              <w:pStyle w:val="List"/>
            </w:pPr>
            <w:r w:rsidRPr="00A5405D">
              <w:t>3.2. Test and assess controls in accordance with the audit plan.</w:t>
            </w:r>
          </w:p>
          <w:p w:rsidR="00000000" w:rsidRPr="00A5405D" w:rsidP="00A5405D">
            <w:pPr>
              <w:pStyle w:val="List"/>
            </w:pPr>
            <w:r w:rsidRPr="00A5405D">
              <w:t>3.3. Conduct substantive testing that reflects audit scope.</w:t>
            </w:r>
          </w:p>
          <w:p w:rsidR="00000000" w:rsidRPr="00A5405D" w:rsidP="00A5405D">
            <w:pPr>
              <w:pStyle w:val="List"/>
            </w:pPr>
            <w:r w:rsidRPr="00A5405D">
              <w:t>3.4. Select and use technology to suit audit r</w:t>
            </w:r>
            <w:r w:rsidRPr="00A5405D">
              <w:t>equirements.</w:t>
            </w:r>
          </w:p>
          <w:p w:rsidR="00000000" w:rsidP="00A5405D">
            <w:pPr>
              <w:pStyle w:val="List"/>
              <w:rPr>
                <w:lang w:val="en-NZ"/>
              </w:rPr>
            </w:pPr>
            <w:r w:rsidRPr="00A5405D">
              <w:t>3.5. Prepare audit documentation and working papers in accordance with established format.</w:t>
            </w:r>
          </w:p>
        </w:tc>
      </w:tr>
      <w:tr w:rsidTr="00A540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63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05D">
            <w:pPr>
              <w:pStyle w:val="List"/>
              <w:rPr>
                <w:lang w:val="en-NZ"/>
              </w:rPr>
            </w:pPr>
            <w:r w:rsidRPr="00A5405D">
              <w:t>4.  Address audit issues.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405D" w:rsidP="00A5405D">
            <w:pPr>
              <w:pStyle w:val="List"/>
            </w:pPr>
            <w:r w:rsidRPr="00A5405D">
              <w:t>4.1. Identify and refer situations requiring specialist input.</w:t>
            </w:r>
          </w:p>
          <w:p w:rsidR="00000000" w:rsidRPr="00A5405D" w:rsidP="00A5405D">
            <w:pPr>
              <w:pStyle w:val="List"/>
            </w:pPr>
            <w:r w:rsidRPr="00A5405D">
              <w:t>4.2. Identify and refer situations requiring referral to other</w:t>
            </w:r>
            <w:r w:rsidRPr="00A5405D">
              <w:t xml:space="preserve"> areas or agencies.</w:t>
            </w:r>
          </w:p>
          <w:p w:rsidR="00000000" w:rsidP="00A5405D">
            <w:pPr>
              <w:pStyle w:val="List"/>
              <w:rPr>
                <w:lang w:val="en-NZ"/>
              </w:rPr>
            </w:pPr>
            <w:r w:rsidRPr="00A5405D">
              <w:t>4.3. Address issues which arise during the audit in a professional manner.</w:t>
            </w:r>
          </w:p>
        </w:tc>
      </w:tr>
      <w:tr w:rsidTr="00A540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05D">
            <w:pPr>
              <w:pStyle w:val="List"/>
              <w:rPr>
                <w:lang w:val="en-NZ"/>
              </w:rPr>
            </w:pPr>
            <w:r w:rsidRPr="00A5405D">
              <w:t>5.  Contribute to reporting and presentation of audit findings.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405D" w:rsidP="00A5405D">
            <w:pPr>
              <w:pStyle w:val="List"/>
            </w:pPr>
            <w:r w:rsidRPr="00A5405D">
              <w:t>5.1. Prepare audit reports in the approved format.</w:t>
            </w:r>
          </w:p>
          <w:p w:rsidR="00000000" w:rsidRPr="00A5405D" w:rsidP="00A5405D">
            <w:pPr>
              <w:pStyle w:val="List"/>
            </w:pPr>
            <w:r w:rsidRPr="00A5405D">
              <w:t>5.2. Conduct discussions with the representative(s) of the regulated entity on audit findings in a professional manner.</w:t>
            </w:r>
          </w:p>
          <w:p w:rsidR="00000000" w:rsidRPr="00A5405D" w:rsidP="00A5405D">
            <w:pPr>
              <w:pStyle w:val="List"/>
            </w:pPr>
            <w:r w:rsidRPr="00A5405D">
              <w:t>5.3. Prepare internal reports in the required style and format.</w:t>
            </w:r>
          </w:p>
          <w:p w:rsidR="00000000" w:rsidRPr="00A5405D" w:rsidP="00A5405D">
            <w:pPr>
              <w:pStyle w:val="List"/>
            </w:pPr>
            <w:r w:rsidRPr="00A5405D">
              <w:t>5.4. Make final recommendations on action.</w:t>
            </w:r>
          </w:p>
          <w:p w:rsidR="00000000" w:rsidRPr="00A5405D" w:rsidP="00A5405D">
            <w:pPr>
              <w:pStyle w:val="List"/>
            </w:pPr>
            <w:r w:rsidRPr="00A5405D">
              <w:t>5.5. Receive responses to aud</w:t>
            </w:r>
            <w:r w:rsidRPr="00A5405D">
              <w:t xml:space="preserve">it recommendations and finalise </w:t>
            </w:r>
            <w:r w:rsidRPr="00A5405D">
              <w:t>the audit.</w:t>
            </w:r>
          </w:p>
          <w:p w:rsidR="00000000" w:rsidRPr="00A5405D" w:rsidP="00A5405D">
            <w:pPr>
              <w:pStyle w:val="List"/>
            </w:pPr>
            <w:r w:rsidRPr="00A5405D">
              <w:t>5.6. Record audit findings in information management systems.</w:t>
            </w:r>
          </w:p>
        </w:tc>
      </w:tr>
    </w:tbl>
    <w:p w:rsidR="00000000" w:rsidRPr="00A5405D" w:rsidP="00A5405D">
      <w:pPr>
        <w:pStyle w:val="List"/>
      </w:pPr>
    </w:p>
    <w:p w:rsidR="00000000" w:rsidRPr="00A5405D" w:rsidP="00A5405D">
      <w:pPr>
        <w:pStyle w:val="AllowPageBreak"/>
      </w:pPr>
    </w:p>
    <w:p w:rsidR="00000000" w:rsidRPr="00A5405D" w:rsidP="00A5405D">
      <w:pPr>
        <w:pStyle w:val="Heading1"/>
      </w:pPr>
      <w:bookmarkStart w:id="6" w:name="O_1217060"/>
      <w:bookmarkEnd w:id="6"/>
      <w:r w:rsidRPr="00A5405D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254"/>
      </w:tblGrid>
      <w:tr w:rsidTr="00A540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05D">
            <w:pPr>
              <w:pStyle w:val="BodyText"/>
              <w:rPr>
                <w:lang w:val="en-NZ"/>
              </w:rPr>
            </w:pPr>
            <w:r w:rsidRPr="00A5405D">
              <w:t>Foundation skills essential to performance in this unit, but not explicit in the performance criteria are listed</w:t>
            </w:r>
            <w:r w:rsidRPr="00A5405D">
              <w:t xml:space="preserve"> here, along with a brief context statement.</w:t>
            </w:r>
          </w:p>
        </w:tc>
      </w:tr>
      <w:tr w:rsidTr="00A540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405D" w:rsidP="00A5405D">
            <w:pPr>
              <w:pStyle w:val="BodyText"/>
            </w:pPr>
            <w:r w:rsidRPr="00A5405D">
              <w:rPr>
                <w:rStyle w:val="SpecialBold"/>
              </w:rPr>
              <w:t>SKILLS</w:t>
            </w:r>
          </w:p>
        </w:tc>
        <w:tc>
          <w:tcPr>
            <w:tcW w:w="62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05D">
            <w:pPr>
              <w:pStyle w:val="BodyText"/>
              <w:rPr>
                <w:lang w:val="en-NZ"/>
              </w:rPr>
            </w:pPr>
            <w:r w:rsidRPr="00A5405D">
              <w:rPr>
                <w:rStyle w:val="SpecialBold"/>
              </w:rPr>
              <w:t>DESCRIPTION</w:t>
            </w:r>
          </w:p>
        </w:tc>
      </w:tr>
      <w:tr w:rsidTr="00A540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4"/>
        </w:trPr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05D">
            <w:pPr>
              <w:pStyle w:val="BodyText"/>
              <w:rPr>
                <w:lang w:val="en-NZ"/>
              </w:rPr>
            </w:pPr>
            <w:r w:rsidRPr="00A5405D">
              <w:t>Reading skills to:</w:t>
            </w:r>
          </w:p>
        </w:tc>
        <w:tc>
          <w:tcPr>
            <w:tcW w:w="62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05D">
            <w:pPr>
              <w:pStyle w:val="ListBullet"/>
              <w:rPr>
                <w:lang w:val="en-NZ"/>
              </w:rPr>
            </w:pPr>
            <w:r w:rsidRPr="00A5405D">
              <w:t>interpret complex and formal documents.</w:t>
            </w:r>
          </w:p>
        </w:tc>
      </w:tr>
      <w:tr w:rsidTr="00A540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56"/>
        </w:trPr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05D">
            <w:pPr>
              <w:pStyle w:val="BodyText"/>
              <w:rPr>
                <w:lang w:val="en-NZ"/>
              </w:rPr>
            </w:pPr>
            <w:r w:rsidRPr="00A5405D">
              <w:t>Writing skills to:</w:t>
            </w:r>
          </w:p>
        </w:tc>
        <w:tc>
          <w:tcPr>
            <w:tcW w:w="62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405D" w:rsidP="00A5405D">
            <w:pPr>
              <w:pStyle w:val="ListBullet"/>
            </w:pPr>
            <w:r w:rsidRPr="00A5405D">
              <w:t>complete reports and official correspondence relating to compliance audits</w:t>
            </w:r>
          </w:p>
          <w:p w:rsidR="00000000" w:rsidP="00A5405D">
            <w:pPr>
              <w:pStyle w:val="ListBullet"/>
              <w:rPr>
                <w:lang w:val="en-NZ"/>
              </w:rPr>
            </w:pPr>
            <w:r w:rsidRPr="00A5405D">
              <w:t>prepare advice and reports requiring precision of expression.</w:t>
            </w:r>
          </w:p>
        </w:tc>
      </w:tr>
      <w:tr w:rsidTr="00A540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0"/>
        </w:trPr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05D">
            <w:pPr>
              <w:pStyle w:val="BodyText"/>
              <w:rPr>
                <w:lang w:val="en-NZ"/>
              </w:rPr>
            </w:pPr>
            <w:r w:rsidRPr="00A5405D">
              <w:t>Oral communication skills to:</w:t>
            </w:r>
          </w:p>
        </w:tc>
        <w:tc>
          <w:tcPr>
            <w:tcW w:w="62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05D">
            <w:pPr>
              <w:pStyle w:val="ListBullet"/>
              <w:rPr>
                <w:lang w:val="en-NZ"/>
              </w:rPr>
            </w:pPr>
            <w:r w:rsidRPr="00A5405D">
              <w:t>adjust styles to meet the requirements of different audiences.</w:t>
            </w:r>
          </w:p>
        </w:tc>
      </w:tr>
      <w:tr w:rsidTr="00A540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09"/>
        </w:trPr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05D">
            <w:pPr>
              <w:pStyle w:val="BodyText"/>
              <w:rPr>
                <w:lang w:val="en-NZ"/>
              </w:rPr>
            </w:pPr>
            <w:r w:rsidRPr="00A5405D">
              <w:t>Problem solving skills to:</w:t>
            </w:r>
          </w:p>
        </w:tc>
        <w:tc>
          <w:tcPr>
            <w:tcW w:w="62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405D" w:rsidP="00A5405D">
            <w:pPr>
              <w:pStyle w:val="ListBullet"/>
            </w:pPr>
            <w:r w:rsidRPr="00A5405D">
              <w:t>evaluate conflicting requirements</w:t>
            </w:r>
          </w:p>
          <w:p w:rsidR="00000000" w:rsidP="00A5405D">
            <w:pPr>
              <w:pStyle w:val="ListBullet"/>
              <w:rPr>
                <w:lang w:val="en-NZ"/>
              </w:rPr>
            </w:pPr>
            <w:r w:rsidRPr="00A5405D">
              <w:t>use negotiation and conflict resolution techniques to resolve issues which arise during audits.</w:t>
            </w:r>
          </w:p>
        </w:tc>
      </w:tr>
      <w:tr w:rsidTr="00A540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6"/>
        </w:trPr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05D">
            <w:pPr>
              <w:pStyle w:val="BodyText"/>
              <w:rPr>
                <w:lang w:val="en-NZ"/>
              </w:rPr>
            </w:pPr>
            <w:r w:rsidRPr="00A5405D">
              <w:t>Technology skills to:</w:t>
            </w:r>
          </w:p>
        </w:tc>
        <w:tc>
          <w:tcPr>
            <w:tcW w:w="62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405D" w:rsidP="00A5405D">
            <w:pPr>
              <w:pStyle w:val="ListBullet"/>
            </w:pPr>
            <w:r w:rsidRPr="00A5405D">
              <w:t>access documents and prepare advice and reports in required formats</w:t>
            </w:r>
          </w:p>
          <w:p w:rsidR="00000000" w:rsidRPr="00A5405D" w:rsidP="00A5405D">
            <w:pPr>
              <w:pStyle w:val="ListBullet"/>
            </w:pPr>
            <w:r w:rsidRPr="00A5405D">
              <w:t>establish and maintain audit records in information management syste</w:t>
            </w:r>
            <w:r w:rsidRPr="00A5405D">
              <w:t>ms.</w:t>
            </w:r>
          </w:p>
        </w:tc>
      </w:tr>
    </w:tbl>
    <w:p w:rsidR="00000000" w:rsidRPr="00A5405D" w:rsidP="00A5405D">
      <w:pPr>
        <w:pStyle w:val="BodyText"/>
      </w:pPr>
    </w:p>
    <w:p w:rsidR="00000000" w:rsidRPr="00A5405D" w:rsidP="00A5405D">
      <w:pPr>
        <w:pStyle w:val="AllowPageBreak"/>
      </w:pPr>
    </w:p>
    <w:p w:rsidR="00000000" w:rsidRPr="00A5405D" w:rsidP="00A5405D">
      <w:pPr>
        <w:pStyle w:val="Heading1"/>
      </w:pPr>
      <w:bookmarkStart w:id="7" w:name="O_1217062"/>
      <w:bookmarkEnd w:id="7"/>
      <w:r w:rsidRPr="00A5405D">
        <w:t>Unit Mapping Information</w:t>
      </w:r>
    </w:p>
    <w:p w:rsidR="00000000" w:rsidRPr="00A5405D" w:rsidP="00B80EAA">
      <w:pPr>
        <w:pStyle w:val="BodyText"/>
      </w:pPr>
      <w:r w:rsidRPr="00A5405D">
        <w:t xml:space="preserve">Supersedes and is not equivalent to PSPREG017 Undertake compliance audits. </w:t>
      </w:r>
    </w:p>
    <w:p w:rsidR="00000000" w:rsidRPr="00A5405D" w:rsidP="00A5405D">
      <w:pPr>
        <w:pStyle w:val="Heading1"/>
      </w:pPr>
      <w:bookmarkStart w:id="8" w:name="O_1217069"/>
      <w:bookmarkEnd w:id="8"/>
      <w:r w:rsidRPr="00A5405D">
        <w:t>Links</w:t>
      </w:r>
    </w:p>
    <w:p w:rsidR="00000000" w:rsidRPr="00A5405D" w:rsidP="00B80EAA">
      <w:pPr>
        <w:pStyle w:val="BodyText"/>
      </w:pPr>
      <w:r w:rsidRPr="00A5405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1C08A9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A5405D" w:rsidP="00A5405D"/>
    <w:sectPr w:rsidSect="00A5405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405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405D" w:rsidRPr="00B80EAA" w:rsidP="00B80EA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405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0EAA" w:rsidP="00A5405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80EAA" w:rsidP="00A5405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B80EAA" w:rsidP="00A5405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405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0EA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5405D" w:rsidRPr="00B80EAA" w:rsidP="00B80EA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405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0EAA" w:rsidRPr="002D2AF8" w:rsidP="00A5405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PSPREG043 Undertake compliance audits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B80EAA" w:rsidP="00A5405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DDA51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018A1F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405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5405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5405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5405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5405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5405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5405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5405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5405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5405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5405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5405D"/>
  </w:style>
  <w:style w:type="character" w:customStyle="1" w:styleId="Heading1Char">
    <w:name w:val="Heading 1 Char"/>
    <w:basedOn w:val="DefaultParagraphFont"/>
    <w:link w:val="Heading1"/>
    <w:rsid w:val="00A5405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5405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5405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5405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5405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5405D"/>
    <w:rPr>
      <w:b/>
      <w:spacing w:val="0"/>
    </w:rPr>
  </w:style>
  <w:style w:type="character" w:styleId="Emphasis">
    <w:name w:val="Emphasis"/>
    <w:basedOn w:val="DefaultParagraphFont"/>
    <w:qFormat/>
    <w:rsid w:val="00A5405D"/>
    <w:rPr>
      <w:i/>
    </w:rPr>
  </w:style>
  <w:style w:type="paragraph" w:customStyle="1" w:styleId="SuperHeading">
    <w:name w:val="SuperHeading"/>
    <w:basedOn w:val="Normal"/>
    <w:rsid w:val="00A5405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5405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5405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5405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5405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540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540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540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540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5405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5405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5405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5405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5405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5405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5405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5405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5405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5405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5405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5405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5405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5405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5405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5405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5405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5405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5405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5405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5405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5405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5405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5405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5405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5405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5405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5405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5405D"/>
  </w:style>
  <w:style w:type="paragraph" w:styleId="TableofFigures">
    <w:name w:val="table of figures"/>
    <w:basedOn w:val="Normal"/>
    <w:next w:val="Normal"/>
    <w:semiHidden/>
    <w:rsid w:val="00A5405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5405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5405D"/>
    <w:rPr>
      <w:rFonts w:ascii="Wingdings" w:hAnsi="Wingdings"/>
    </w:rPr>
  </w:style>
  <w:style w:type="paragraph" w:customStyle="1" w:styleId="TableHeading">
    <w:name w:val="Table Heading"/>
    <w:basedOn w:val="HeadingBase"/>
    <w:rsid w:val="00A5405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5405D"/>
    <w:rPr>
      <w:color w:val="0033CC"/>
      <w:u w:val="none"/>
    </w:rPr>
  </w:style>
  <w:style w:type="paragraph" w:customStyle="1" w:styleId="BodyTextRight">
    <w:name w:val="Body Text Right"/>
    <w:basedOn w:val="BodyText"/>
    <w:rsid w:val="00A5405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5405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5405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5405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5405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5405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5405D"/>
    <w:rPr>
      <w:sz w:val="32"/>
    </w:rPr>
  </w:style>
  <w:style w:type="paragraph" w:customStyle="1" w:styleId="HeadingProcedure">
    <w:name w:val="Heading Procedure"/>
    <w:basedOn w:val="HeadingBase"/>
    <w:next w:val="Normal"/>
    <w:rsid w:val="00A5405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5405D"/>
    <w:pPr>
      <w:spacing w:before="60" w:after="60"/>
    </w:pPr>
  </w:style>
  <w:style w:type="paragraph" w:styleId="ListContinue">
    <w:name w:val="List Continue"/>
    <w:basedOn w:val="List"/>
    <w:rsid w:val="00A5405D"/>
    <w:pPr>
      <w:ind w:firstLine="0"/>
    </w:pPr>
  </w:style>
  <w:style w:type="paragraph" w:customStyle="1" w:styleId="ListNote">
    <w:name w:val="List Note"/>
    <w:basedOn w:val="List"/>
    <w:rsid w:val="00A5405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5405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5405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5405D"/>
    <w:rPr>
      <w:rFonts w:ascii="Courier New" w:hAnsi="Courier New"/>
    </w:rPr>
  </w:style>
  <w:style w:type="paragraph" w:customStyle="1" w:styleId="NoteBullet">
    <w:name w:val="Note Bullet"/>
    <w:basedOn w:val="Note"/>
    <w:rsid w:val="00A5405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5405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5405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5405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5405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5405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5405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5405D"/>
    <w:rPr>
      <w:b/>
      <w:smallCaps/>
    </w:rPr>
  </w:style>
  <w:style w:type="paragraph" w:customStyle="1" w:styleId="TableListNumber">
    <w:name w:val="Table List Number"/>
    <w:basedOn w:val="ListNumber"/>
    <w:rsid w:val="00A5405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5405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5405D"/>
    <w:pPr>
      <w:numPr>
        <w:numId w:val="8"/>
      </w:numPr>
    </w:pPr>
  </w:style>
  <w:style w:type="paragraph" w:customStyle="1" w:styleId="ListAlpha2">
    <w:name w:val="List Alpha 2"/>
    <w:basedOn w:val="List2"/>
    <w:rsid w:val="00A5405D"/>
    <w:pPr>
      <w:numPr>
        <w:numId w:val="7"/>
      </w:numPr>
    </w:pPr>
  </w:style>
  <w:style w:type="paragraph" w:styleId="List2">
    <w:name w:val="List 2"/>
    <w:basedOn w:val="BodyText"/>
    <w:rsid w:val="00A5405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5405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5405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5405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5405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5405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5405D"/>
    <w:pPr>
      <w:numPr>
        <w:numId w:val="3"/>
      </w:numPr>
    </w:pPr>
  </w:style>
  <w:style w:type="paragraph" w:styleId="ListContinue2">
    <w:name w:val="List Continue 2"/>
    <w:basedOn w:val="List2"/>
    <w:rsid w:val="00A5405D"/>
    <w:pPr>
      <w:ind w:firstLine="0"/>
    </w:pPr>
  </w:style>
  <w:style w:type="paragraph" w:styleId="ListContinue3">
    <w:name w:val="List Continue 3"/>
    <w:basedOn w:val="List3"/>
    <w:rsid w:val="00A5405D"/>
    <w:pPr>
      <w:ind w:left="1021" w:firstLine="0"/>
    </w:pPr>
  </w:style>
  <w:style w:type="paragraph" w:styleId="ListContinue4">
    <w:name w:val="List Continue 4"/>
    <w:basedOn w:val="List4"/>
    <w:rsid w:val="00A5405D"/>
    <w:pPr>
      <w:ind w:firstLine="0"/>
    </w:pPr>
  </w:style>
  <w:style w:type="paragraph" w:styleId="ListContinue5">
    <w:name w:val="List Continue 5"/>
    <w:basedOn w:val="List5"/>
    <w:rsid w:val="00A5405D"/>
    <w:pPr>
      <w:ind w:firstLine="0"/>
    </w:pPr>
  </w:style>
  <w:style w:type="paragraph" w:styleId="ListNumber3">
    <w:name w:val="List Number 3"/>
    <w:basedOn w:val="List3"/>
    <w:rsid w:val="00A5405D"/>
    <w:pPr>
      <w:numPr>
        <w:numId w:val="4"/>
      </w:numPr>
    </w:pPr>
  </w:style>
  <w:style w:type="paragraph" w:styleId="ListNumber4">
    <w:name w:val="List Number 4"/>
    <w:basedOn w:val="List4"/>
    <w:rsid w:val="00A5405D"/>
    <w:pPr>
      <w:numPr>
        <w:numId w:val="5"/>
      </w:numPr>
    </w:pPr>
  </w:style>
  <w:style w:type="paragraph" w:styleId="ListNumber5">
    <w:name w:val="List Number 5"/>
    <w:basedOn w:val="List5"/>
    <w:rsid w:val="00A5405D"/>
    <w:pPr>
      <w:numPr>
        <w:numId w:val="6"/>
      </w:numPr>
    </w:pPr>
  </w:style>
  <w:style w:type="paragraph" w:styleId="BlockText">
    <w:name w:val="Block Text"/>
    <w:basedOn w:val="Normal"/>
    <w:rsid w:val="00A5405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5405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5405D"/>
    <w:rPr>
      <w:sz w:val="16"/>
      <w:vertAlign w:val="superscript"/>
    </w:rPr>
  </w:style>
  <w:style w:type="character" w:customStyle="1" w:styleId="Symbols">
    <w:name w:val="Symbols"/>
    <w:basedOn w:val="DefaultParagraphFont"/>
    <w:rsid w:val="00A5405D"/>
    <w:rPr>
      <w:rFonts w:ascii="Symbol" w:hAnsi="Symbol"/>
    </w:rPr>
  </w:style>
  <w:style w:type="character" w:customStyle="1" w:styleId="MenuOptions">
    <w:name w:val="Menu Options"/>
    <w:basedOn w:val="DefaultParagraphFont"/>
    <w:rsid w:val="00A5405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5405D"/>
    <w:rPr>
      <w:b/>
    </w:rPr>
  </w:style>
  <w:style w:type="character" w:customStyle="1" w:styleId="Underlined">
    <w:name w:val="Underlined"/>
    <w:basedOn w:val="DefaultParagraphFont"/>
    <w:rsid w:val="00A5405D"/>
    <w:rPr>
      <w:u w:val="single"/>
    </w:rPr>
  </w:style>
  <w:style w:type="paragraph" w:customStyle="1" w:styleId="TableBodyTextRight">
    <w:name w:val="Table Body Text Right"/>
    <w:basedOn w:val="TableBodyText"/>
    <w:rsid w:val="00A5405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5405D"/>
    <w:rPr>
      <w:sz w:val="18"/>
    </w:rPr>
  </w:style>
  <w:style w:type="paragraph" w:customStyle="1" w:styleId="BodySmallRight">
    <w:name w:val="Body Small Right"/>
    <w:basedOn w:val="BodyTextRight"/>
    <w:rsid w:val="00A5405D"/>
    <w:rPr>
      <w:sz w:val="18"/>
      <w:szCs w:val="18"/>
    </w:rPr>
  </w:style>
  <w:style w:type="paragraph" w:customStyle="1" w:styleId="MarginEdition">
    <w:name w:val="Margin Edition"/>
    <w:basedOn w:val="MarginNote"/>
    <w:rsid w:val="00A5405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5405D"/>
    <w:rPr>
      <w:sz w:val="2"/>
      <w:szCs w:val="2"/>
    </w:rPr>
  </w:style>
  <w:style w:type="character" w:customStyle="1" w:styleId="Small">
    <w:name w:val="Small"/>
    <w:basedOn w:val="DefaultParagraphFont"/>
    <w:rsid w:val="00A5405D"/>
    <w:rPr>
      <w:sz w:val="16"/>
    </w:rPr>
  </w:style>
  <w:style w:type="paragraph" w:customStyle="1" w:styleId="WideTable">
    <w:name w:val="Wide Table"/>
    <w:basedOn w:val="Normal"/>
    <w:rsid w:val="00A5405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5405D"/>
  </w:style>
  <w:style w:type="paragraph" w:styleId="Quote">
    <w:name w:val="Quote"/>
    <w:basedOn w:val="Heading1"/>
    <w:link w:val="QuoteChar"/>
    <w:qFormat/>
    <w:rsid w:val="00A5405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5405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5405D"/>
    <w:pPr>
      <w:pageBreakBefore/>
    </w:pPr>
  </w:style>
  <w:style w:type="paragraph" w:customStyle="1" w:styleId="Border">
    <w:name w:val="Border"/>
    <w:basedOn w:val="Normal"/>
    <w:qFormat/>
    <w:rsid w:val="00A5405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5405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405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405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5405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5405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5405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5405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5405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5405D"/>
    <w:rPr>
      <w:u w:val="single"/>
    </w:rPr>
  </w:style>
  <w:style w:type="character" w:customStyle="1" w:styleId="BoldandItalics">
    <w:name w:val="Bold and Italics"/>
    <w:qFormat/>
    <w:rsid w:val="00A5405D"/>
    <w:rPr>
      <w:b/>
      <w:i/>
      <w:u w:val="none"/>
    </w:rPr>
  </w:style>
  <w:style w:type="paragraph" w:styleId="BalloonText">
    <w:name w:val="Balloon Text"/>
    <w:basedOn w:val="Normal"/>
    <w:link w:val="BalloonTextChar"/>
    <w:rsid w:val="00A5405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5405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5405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5405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5405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5405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5405D"/>
    <w:pPr>
      <w:spacing w:before="0" w:after="0"/>
    </w:pPr>
  </w:style>
  <w:style w:type="paragraph" w:customStyle="1" w:styleId="BodyTextBold">
    <w:name w:val="Body Text Bold"/>
    <w:basedOn w:val="BodyText"/>
    <w:qFormat/>
    <w:rsid w:val="00A5405D"/>
    <w:rPr>
      <w:b/>
    </w:rPr>
  </w:style>
  <w:style w:type="character" w:styleId="Hyperlink">
    <w:name w:val="Hyperlink"/>
    <w:basedOn w:val="DefaultParagraphFont"/>
    <w:uiPriority w:val="99"/>
    <w:unhideWhenUsed/>
    <w:rsid w:val="00B80EA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590</Words>
  <Characters>3750</Characters>
  <Application>Microsoft Office Word</Application>
  <DocSecurity>0</DocSecurity>
  <Lines>120</Lines>
  <Paragraphs>83</Paragraphs>
  <ScaleCrop>false</ScaleCrop>
  <Company>Author-it Software Corporation Ltd.</Company>
  <LinksUpToDate>false</LinksUpToDate>
  <CharactersWithSpaces>4257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PSPREG043 Undertake compliance audits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2022-11-21T09:01:00Z</dcterms:created>
  <dcterms:modified xsi:type="dcterms:W3CDTF">2022-11-21T09:01:00Z</dcterms:modified>
</cp:coreProperties>
</file>