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9A7" w:rsidP="00AC39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PSPREG038 Give evidence</w:t>
      </w:r>
      <w:r>
        <w:fldChar w:fldCharType="end"/>
      </w:r>
    </w:p>
    <w:p w:rsidR="00AC39A7" w:rsidP="00AC39A7">
      <w:pPr>
        <w:pStyle w:val="Version"/>
        <w:sectPr w:rsidSect="005C4E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E02" w:rsidP="005C4E02">
      <w:pPr>
        <w:pStyle w:val="SuperHeading"/>
      </w:pPr>
      <w:r w:rsidRPr="005C4E02">
        <w:t>Assessment Requirements for PSPREG038 Give evidence</w:t>
      </w:r>
    </w:p>
    <w:p w:rsidR="00000000" w:rsidRPr="005C4E02" w:rsidP="005C4E02">
      <w:pPr>
        <w:pStyle w:val="Heading1"/>
      </w:pPr>
      <w:bookmarkStart w:id="1" w:name="O_1216969"/>
      <w:bookmarkEnd w:id="1"/>
      <w:r w:rsidRPr="005C4E02">
        <w:t>Modification History</w:t>
      </w:r>
    </w:p>
    <w:p w:rsidR="00000000" w:rsidRPr="005C4E02" w:rsidP="00AC39A7">
      <w:pPr>
        <w:pStyle w:val="BodyText"/>
      </w:pPr>
      <w:r w:rsidRPr="005C4E02">
        <w:t xml:space="preserve">Supersedes and is not equivalent to PSPREG011 Give evidence. </w:t>
      </w:r>
    </w:p>
    <w:p w:rsidR="00000000" w:rsidRPr="005C4E02" w:rsidP="005C4E02">
      <w:pPr>
        <w:pStyle w:val="Heading1"/>
      </w:pPr>
      <w:bookmarkStart w:id="2" w:name="O_1216970"/>
      <w:bookmarkEnd w:id="2"/>
      <w:r w:rsidRPr="005C4E02">
        <w:t>Performance Evidence</w:t>
      </w:r>
    </w:p>
    <w:p w:rsidR="00000000" w:rsidRPr="005C4E02" w:rsidP="00AC39A7">
      <w:pPr>
        <w:pStyle w:val="BodyText"/>
      </w:pPr>
      <w:r w:rsidRPr="005C4E02">
        <w:t>Evidence of the ability to complete tasks outlined in elements and performance criteria of this unit in the context of the j</w:t>
      </w:r>
      <w:r w:rsidRPr="005C4E02">
        <w:t>ob role, and on at least two occasions:</w:t>
      </w:r>
    </w:p>
    <w:p w:rsidR="00000000" w:rsidRPr="005C4E02" w:rsidP="005C4E02">
      <w:pPr>
        <w:pStyle w:val="ListBullet"/>
      </w:pPr>
      <w:r w:rsidRPr="005C4E02">
        <w:t>present evidence clearly and concisely</w:t>
      </w:r>
    </w:p>
    <w:p w:rsidR="00000000" w:rsidRPr="005C4E02" w:rsidP="005C4E02">
      <w:pPr>
        <w:pStyle w:val="ListBullet"/>
      </w:pPr>
      <w:r w:rsidRPr="005C4E02">
        <w:t>take notes on court proceedings</w:t>
      </w:r>
    </w:p>
    <w:p w:rsidR="00000000" w:rsidRPr="005C4E02" w:rsidP="005C4E02">
      <w:pPr>
        <w:pStyle w:val="ListBullet"/>
      </w:pPr>
      <w:r w:rsidRPr="005C4E02">
        <w:t>communicate with people from diverse backgrounds</w:t>
      </w:r>
    </w:p>
    <w:p w:rsidR="00000000" w:rsidRPr="005C4E02" w:rsidP="005C4E02">
      <w:pPr>
        <w:pStyle w:val="ListBullet"/>
      </w:pPr>
      <w:r w:rsidRPr="005C4E02">
        <w:t>write reports using formal structures and language.</w:t>
      </w:r>
    </w:p>
    <w:p w:rsidR="00000000" w:rsidRPr="005C4E02" w:rsidP="005C4E02">
      <w:pPr>
        <w:pStyle w:val="AllowPageBreak"/>
      </w:pPr>
    </w:p>
    <w:p w:rsidR="00000000" w:rsidRPr="005C4E02" w:rsidP="005C4E02">
      <w:pPr>
        <w:pStyle w:val="Heading1"/>
      </w:pPr>
      <w:bookmarkStart w:id="3" w:name="O_1216971"/>
      <w:bookmarkEnd w:id="3"/>
      <w:r w:rsidRPr="005C4E02">
        <w:t>Knowledge Evidence</w:t>
      </w:r>
    </w:p>
    <w:p w:rsidR="00000000" w:rsidRPr="005C4E02" w:rsidP="00AC39A7">
      <w:pPr>
        <w:pStyle w:val="BodyText"/>
      </w:pPr>
      <w:r w:rsidRPr="005C4E02">
        <w:t>Demon</w:t>
      </w:r>
      <w:r w:rsidRPr="005C4E02">
        <w:t>strated knowledge required to complete the tasks outlined in elements and performance criteria of this unit:</w:t>
      </w:r>
    </w:p>
    <w:p w:rsidR="00000000" w:rsidRPr="005C4E02" w:rsidP="005C4E02">
      <w:pPr>
        <w:pStyle w:val="ListBullet"/>
      </w:pPr>
      <w:r w:rsidRPr="005C4E02">
        <w:t>legislation applicable to giving evidence in legal proceedings</w:t>
      </w:r>
    </w:p>
    <w:p w:rsidR="00000000" w:rsidRPr="005C4E02" w:rsidP="005C4E02">
      <w:pPr>
        <w:pStyle w:val="ListBullet"/>
      </w:pPr>
      <w:r w:rsidRPr="005C4E02">
        <w:t>organisational policies, procedures and guidelines for giving evidence</w:t>
      </w:r>
    </w:p>
    <w:p w:rsidR="00000000" w:rsidRPr="005C4E02" w:rsidP="005C4E02">
      <w:pPr>
        <w:pStyle w:val="ListBullet"/>
      </w:pPr>
      <w:r w:rsidRPr="005C4E02">
        <w:t>court prosec</w:t>
      </w:r>
      <w:r w:rsidRPr="005C4E02">
        <w:t>ution processes</w:t>
      </w:r>
    </w:p>
    <w:p w:rsidR="00000000" w:rsidRPr="005C4E02" w:rsidP="005C4E02">
      <w:pPr>
        <w:pStyle w:val="ListBullet"/>
      </w:pPr>
      <w:r w:rsidRPr="005C4E02">
        <w:t>common law versus judicial precedent versus legislation</w:t>
      </w:r>
    </w:p>
    <w:p w:rsidR="00000000" w:rsidRPr="005C4E02" w:rsidP="005C4E02">
      <w:pPr>
        <w:pStyle w:val="ListBullet"/>
      </w:pPr>
      <w:r w:rsidRPr="005C4E02">
        <w:t>specific powers of the organisation</w:t>
      </w:r>
    </w:p>
    <w:p w:rsidR="00000000" w:rsidRPr="005C4E02" w:rsidP="005C4E02">
      <w:pPr>
        <w:pStyle w:val="ListBullet"/>
      </w:pPr>
      <w:r w:rsidRPr="005C4E02">
        <w:t>structures and related jurisdiction of:</w:t>
      </w:r>
    </w:p>
    <w:p w:rsidR="00000000" w:rsidRPr="005C4E02" w:rsidP="005C4E02">
      <w:pPr>
        <w:pStyle w:val="ListBullet2"/>
      </w:pPr>
      <w:r w:rsidRPr="005C4E02">
        <w:t>court</w:t>
      </w:r>
    </w:p>
    <w:p w:rsidR="00000000" w:rsidRPr="005C4E02" w:rsidP="005C4E02">
      <w:pPr>
        <w:pStyle w:val="ListBullet2"/>
      </w:pPr>
      <w:r w:rsidRPr="005C4E02">
        <w:t>tribunal</w:t>
      </w:r>
    </w:p>
    <w:p w:rsidR="00000000" w:rsidRPr="005C4E02" w:rsidP="005C4E02">
      <w:pPr>
        <w:pStyle w:val="ListBullet2"/>
      </w:pPr>
      <w:r w:rsidRPr="005C4E02">
        <w:t xml:space="preserve">commission </w:t>
      </w:r>
    </w:p>
    <w:p w:rsidR="00000000" w:rsidRPr="005C4E02" w:rsidP="005C4E02">
      <w:pPr>
        <w:pStyle w:val="ListBullet"/>
      </w:pPr>
      <w:r w:rsidRPr="005C4E02">
        <w:t>appeals systems</w:t>
      </w:r>
    </w:p>
    <w:p w:rsidR="00000000" w:rsidRPr="005C4E02" w:rsidP="005C4E02">
      <w:pPr>
        <w:pStyle w:val="ListBullet"/>
      </w:pPr>
      <w:r w:rsidRPr="005C4E02">
        <w:t>role of legal personnel in judicial or quasi-judicial systems</w:t>
      </w:r>
    </w:p>
    <w:p w:rsidR="00000000" w:rsidRPr="005C4E02" w:rsidP="005C4E02">
      <w:pPr>
        <w:pStyle w:val="ListBullet"/>
      </w:pPr>
      <w:r w:rsidRPr="005C4E02">
        <w:t>procedures and protocols in different judicial or quasi-judicial systems</w:t>
      </w:r>
    </w:p>
    <w:p w:rsidR="00000000" w:rsidRPr="005C4E02" w:rsidP="005C4E02">
      <w:pPr>
        <w:pStyle w:val="ListBullet"/>
      </w:pPr>
      <w:r w:rsidRPr="005C4E02">
        <w:t>types of offences</w:t>
      </w:r>
    </w:p>
    <w:p w:rsidR="00000000" w:rsidRPr="005C4E02" w:rsidP="005C4E02">
      <w:pPr>
        <w:pStyle w:val="ListBullet"/>
      </w:pPr>
      <w:r w:rsidRPr="005C4E02">
        <w:t>general principles of criminal liability</w:t>
      </w:r>
    </w:p>
    <w:p w:rsidR="00000000" w:rsidRPr="005C4E02" w:rsidP="005C4E02">
      <w:pPr>
        <w:pStyle w:val="ListBullet"/>
      </w:pPr>
      <w:r w:rsidRPr="005C4E02">
        <w:t>exemptions and defences</w:t>
      </w:r>
    </w:p>
    <w:p w:rsidR="00000000" w:rsidRPr="005C4E02" w:rsidP="005C4E02">
      <w:pPr>
        <w:pStyle w:val="ListBullet"/>
      </w:pPr>
      <w:r w:rsidRPr="005C4E02">
        <w:t>types of evidence admissible in judicial or quasi-judicial systems</w:t>
      </w:r>
    </w:p>
    <w:p w:rsidR="00000000" w:rsidRPr="005C4E02" w:rsidP="005C4E02">
      <w:pPr>
        <w:pStyle w:val="ListBullet"/>
      </w:pPr>
      <w:r w:rsidRPr="005C4E02">
        <w:t>legislative requirements of prese</w:t>
      </w:r>
      <w:r w:rsidRPr="005C4E02">
        <w:t>nting evidence</w:t>
      </w:r>
    </w:p>
    <w:p w:rsidR="00000000" w:rsidRPr="005C4E02" w:rsidP="005C4E02">
      <w:pPr>
        <w:pStyle w:val="ListBullet"/>
      </w:pPr>
      <w:r w:rsidRPr="005C4E02">
        <w:t xml:space="preserve">use of notes in: </w:t>
      </w:r>
    </w:p>
    <w:p w:rsidR="00000000" w:rsidRPr="005C4E02" w:rsidP="005C4E02">
      <w:pPr>
        <w:pStyle w:val="ListBullet2"/>
      </w:pPr>
      <w:r w:rsidRPr="005C4E02">
        <w:t>court</w:t>
      </w:r>
    </w:p>
    <w:p w:rsidR="00000000" w:rsidRPr="005C4E02" w:rsidP="005C4E02">
      <w:pPr>
        <w:pStyle w:val="ListBullet2"/>
      </w:pPr>
      <w:r w:rsidRPr="005C4E02">
        <w:t>tribunal</w:t>
      </w:r>
    </w:p>
    <w:p w:rsidR="00000000" w:rsidRPr="005C4E02" w:rsidP="005C4E02">
      <w:pPr>
        <w:pStyle w:val="ListBullet2"/>
      </w:pPr>
      <w:r w:rsidRPr="005C4E02">
        <w:t>commission.</w:t>
      </w:r>
    </w:p>
    <w:p w:rsidR="00000000" w:rsidRPr="005C4E02" w:rsidP="005C4E02">
      <w:pPr>
        <w:pStyle w:val="AllowPageBreak"/>
      </w:pPr>
    </w:p>
    <w:p w:rsidR="00000000" w:rsidRPr="005C4E02" w:rsidP="005C4E02">
      <w:pPr>
        <w:pStyle w:val="Heading1"/>
      </w:pPr>
      <w:bookmarkStart w:id="4" w:name="O_1216972"/>
      <w:bookmarkEnd w:id="4"/>
      <w:r w:rsidRPr="005C4E02">
        <w:t>Assessment Conditions</w:t>
      </w:r>
    </w:p>
    <w:p w:rsidR="00000000" w:rsidRPr="005C4E02" w:rsidP="00AC39A7">
      <w:pPr>
        <w:pStyle w:val="BodyText"/>
      </w:pPr>
      <w:r w:rsidRPr="005C4E02">
        <w:t xml:space="preserve">Skills must be demonstrated in the workplace or in a simulated environment that reflects workplace conditions. </w:t>
      </w:r>
    </w:p>
    <w:p w:rsidR="00000000" w:rsidRPr="005C4E02" w:rsidP="00AC39A7">
      <w:pPr>
        <w:pStyle w:val="BodyText"/>
      </w:pPr>
      <w:r w:rsidRPr="005C4E02">
        <w:t>Assessment must ensure access to:</w:t>
      </w:r>
    </w:p>
    <w:p w:rsidR="00000000" w:rsidRPr="005C4E02" w:rsidP="005C4E02">
      <w:pPr>
        <w:pStyle w:val="ListBullet"/>
      </w:pPr>
      <w:r w:rsidRPr="005C4E02">
        <w:t>legislation applicable to giving evidence in legal proceedings</w:t>
      </w:r>
    </w:p>
    <w:p w:rsidR="00000000" w:rsidRPr="005C4E02" w:rsidP="005C4E02">
      <w:pPr>
        <w:pStyle w:val="ListBullet"/>
      </w:pPr>
      <w:r w:rsidRPr="005C4E02">
        <w:t>organisational policies, procedures and guidelines for  presentation of evidence</w:t>
      </w:r>
    </w:p>
    <w:p w:rsidR="00000000" w:rsidRPr="005C4E02" w:rsidP="005C4E02">
      <w:pPr>
        <w:pStyle w:val="ListBullet"/>
      </w:pPr>
      <w:r w:rsidRPr="005C4E02">
        <w:t xml:space="preserve">information on relevant court proceedings </w:t>
      </w:r>
    </w:p>
    <w:p w:rsidR="00000000" w:rsidRPr="005C4E02" w:rsidP="005C4E02">
      <w:pPr>
        <w:pStyle w:val="ListBullet"/>
      </w:pPr>
      <w:r w:rsidRPr="005C4E02">
        <w:t>resources and equipment of the court environment.</w:t>
      </w:r>
    </w:p>
    <w:p w:rsidR="00000000" w:rsidRPr="005C4E02" w:rsidP="00AC39A7">
      <w:pPr>
        <w:pStyle w:val="BodyText"/>
      </w:pPr>
      <w:r w:rsidRPr="005C4E02">
        <w:t>Assessors must sati</w:t>
      </w:r>
      <w:r w:rsidRPr="005C4E02">
        <w:t>sfy the Standards for Registered Training Organisations’ requirements for assessors.</w:t>
      </w:r>
    </w:p>
    <w:p w:rsidR="00000000" w:rsidRPr="005C4E02" w:rsidP="005C4E02">
      <w:pPr>
        <w:pStyle w:val="Heading1"/>
      </w:pPr>
      <w:bookmarkStart w:id="5" w:name="O_1216975"/>
      <w:bookmarkEnd w:id="5"/>
      <w:r w:rsidRPr="005C4E02">
        <w:t>Links</w:t>
      </w:r>
    </w:p>
    <w:p w:rsidR="00000000" w:rsidRPr="005C4E02" w:rsidP="00AC39A7">
      <w:pPr>
        <w:pStyle w:val="BodyText"/>
      </w:pPr>
      <w:r w:rsidRPr="005C4E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F133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C4E02" w:rsidP="005C4E02"/>
    <w:sectPr w:rsidSect="005C4E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02" w:rsidRPr="00AC39A7" w:rsidP="00AC39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9A7" w:rsidP="005C4E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39A7" w:rsidP="005C4E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39A7" w:rsidP="005C4E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9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E02" w:rsidRPr="00AC39A7" w:rsidP="00AC39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9A7" w:rsidRPr="002D2AF8" w:rsidP="005C4E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PSPREG038 Give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C39A7" w:rsidP="005C4E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D25A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84B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3496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E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E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E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E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E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E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E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E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E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E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E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E02"/>
  </w:style>
  <w:style w:type="character" w:customStyle="1" w:styleId="Heading1Char">
    <w:name w:val="Heading 1 Char"/>
    <w:basedOn w:val="DefaultParagraphFont"/>
    <w:link w:val="Heading1"/>
    <w:rsid w:val="005C4E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E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E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E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4E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4E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E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4E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E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E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E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E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E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E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E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E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E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E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E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E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E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E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E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4E02"/>
    <w:rPr>
      <w:b/>
      <w:spacing w:val="0"/>
    </w:rPr>
  </w:style>
  <w:style w:type="paragraph" w:customStyle="1" w:styleId="SuperTitle">
    <w:name w:val="SuperTitle"/>
    <w:basedOn w:val="Title"/>
    <w:rsid w:val="005C4E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E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E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4E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E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E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E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E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E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E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E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E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E02"/>
    <w:rPr>
      <w:i/>
    </w:rPr>
  </w:style>
  <w:style w:type="paragraph" w:styleId="Caption">
    <w:name w:val="caption"/>
    <w:basedOn w:val="BodyText"/>
    <w:next w:val="Normal"/>
    <w:qFormat/>
    <w:rsid w:val="005C4E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E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E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E02"/>
  </w:style>
  <w:style w:type="paragraph" w:styleId="TableofFigures">
    <w:name w:val="table of figures"/>
    <w:basedOn w:val="Normal"/>
    <w:next w:val="Normal"/>
    <w:semiHidden/>
    <w:rsid w:val="005C4E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E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4E02"/>
    <w:rPr>
      <w:rFonts w:ascii="Wingdings" w:hAnsi="Wingdings"/>
    </w:rPr>
  </w:style>
  <w:style w:type="paragraph" w:customStyle="1" w:styleId="TableHeading">
    <w:name w:val="Table Heading"/>
    <w:basedOn w:val="HeadingBase"/>
    <w:rsid w:val="005C4E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E02"/>
    <w:rPr>
      <w:color w:val="0033CC"/>
      <w:u w:val="none"/>
    </w:rPr>
  </w:style>
  <w:style w:type="paragraph" w:customStyle="1" w:styleId="BodyTextRight">
    <w:name w:val="Body Text Right"/>
    <w:basedOn w:val="BodyText"/>
    <w:rsid w:val="005C4E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E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E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E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E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E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E02"/>
    <w:rPr>
      <w:sz w:val="32"/>
    </w:rPr>
  </w:style>
  <w:style w:type="paragraph" w:customStyle="1" w:styleId="HeadingProcedure">
    <w:name w:val="Heading Procedure"/>
    <w:basedOn w:val="HeadingBase"/>
    <w:next w:val="Normal"/>
    <w:rsid w:val="005C4E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E02"/>
    <w:pPr>
      <w:spacing w:before="60" w:after="60"/>
    </w:pPr>
  </w:style>
  <w:style w:type="paragraph" w:styleId="ListContinue">
    <w:name w:val="List Continue"/>
    <w:basedOn w:val="List"/>
    <w:rsid w:val="005C4E02"/>
    <w:pPr>
      <w:ind w:firstLine="0"/>
    </w:pPr>
  </w:style>
  <w:style w:type="paragraph" w:customStyle="1" w:styleId="ListNote">
    <w:name w:val="List Note"/>
    <w:basedOn w:val="List"/>
    <w:rsid w:val="005C4E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E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E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E02"/>
    <w:rPr>
      <w:rFonts w:ascii="Courier New" w:hAnsi="Courier New"/>
    </w:rPr>
  </w:style>
  <w:style w:type="paragraph" w:customStyle="1" w:styleId="NoteBullet">
    <w:name w:val="Note Bullet"/>
    <w:basedOn w:val="Note"/>
    <w:rsid w:val="005C4E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E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E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E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E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4E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E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E02"/>
    <w:rPr>
      <w:b/>
      <w:smallCaps/>
    </w:rPr>
  </w:style>
  <w:style w:type="paragraph" w:customStyle="1" w:styleId="TableListNumber">
    <w:name w:val="Table List Number"/>
    <w:basedOn w:val="ListNumber"/>
    <w:rsid w:val="005C4E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E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E02"/>
    <w:pPr>
      <w:numPr>
        <w:numId w:val="9"/>
      </w:numPr>
    </w:pPr>
  </w:style>
  <w:style w:type="paragraph" w:customStyle="1" w:styleId="ListAlpha2">
    <w:name w:val="List Alpha 2"/>
    <w:basedOn w:val="List2"/>
    <w:rsid w:val="005C4E02"/>
    <w:pPr>
      <w:numPr>
        <w:numId w:val="8"/>
      </w:numPr>
    </w:pPr>
  </w:style>
  <w:style w:type="paragraph" w:styleId="List2">
    <w:name w:val="List 2"/>
    <w:basedOn w:val="BodyText"/>
    <w:rsid w:val="005C4E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E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E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E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E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E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4E02"/>
    <w:pPr>
      <w:numPr>
        <w:numId w:val="4"/>
      </w:numPr>
    </w:pPr>
  </w:style>
  <w:style w:type="paragraph" w:styleId="ListContinue2">
    <w:name w:val="List Continue 2"/>
    <w:basedOn w:val="List2"/>
    <w:rsid w:val="005C4E02"/>
    <w:pPr>
      <w:ind w:firstLine="0"/>
    </w:pPr>
  </w:style>
  <w:style w:type="paragraph" w:styleId="ListContinue3">
    <w:name w:val="List Continue 3"/>
    <w:basedOn w:val="List3"/>
    <w:rsid w:val="005C4E02"/>
    <w:pPr>
      <w:ind w:left="1021" w:firstLine="0"/>
    </w:pPr>
  </w:style>
  <w:style w:type="paragraph" w:styleId="ListContinue4">
    <w:name w:val="List Continue 4"/>
    <w:basedOn w:val="List4"/>
    <w:rsid w:val="005C4E02"/>
    <w:pPr>
      <w:ind w:firstLine="0"/>
    </w:pPr>
  </w:style>
  <w:style w:type="paragraph" w:styleId="ListContinue5">
    <w:name w:val="List Continue 5"/>
    <w:basedOn w:val="List5"/>
    <w:rsid w:val="005C4E02"/>
    <w:pPr>
      <w:ind w:firstLine="0"/>
    </w:pPr>
  </w:style>
  <w:style w:type="paragraph" w:styleId="ListNumber3">
    <w:name w:val="List Number 3"/>
    <w:basedOn w:val="List3"/>
    <w:rsid w:val="005C4E02"/>
    <w:pPr>
      <w:numPr>
        <w:numId w:val="5"/>
      </w:numPr>
    </w:pPr>
  </w:style>
  <w:style w:type="paragraph" w:styleId="ListNumber4">
    <w:name w:val="List Number 4"/>
    <w:basedOn w:val="List4"/>
    <w:rsid w:val="005C4E02"/>
    <w:pPr>
      <w:numPr>
        <w:numId w:val="6"/>
      </w:numPr>
    </w:pPr>
  </w:style>
  <w:style w:type="paragraph" w:styleId="ListNumber5">
    <w:name w:val="List Number 5"/>
    <w:basedOn w:val="List5"/>
    <w:rsid w:val="005C4E02"/>
    <w:pPr>
      <w:numPr>
        <w:numId w:val="7"/>
      </w:numPr>
    </w:pPr>
  </w:style>
  <w:style w:type="paragraph" w:styleId="BlockText">
    <w:name w:val="Block Text"/>
    <w:basedOn w:val="Normal"/>
    <w:rsid w:val="005C4E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E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E02"/>
    <w:rPr>
      <w:sz w:val="16"/>
      <w:vertAlign w:val="superscript"/>
    </w:rPr>
  </w:style>
  <w:style w:type="character" w:customStyle="1" w:styleId="Symbols">
    <w:name w:val="Symbols"/>
    <w:basedOn w:val="DefaultParagraphFont"/>
    <w:rsid w:val="005C4E02"/>
    <w:rPr>
      <w:rFonts w:ascii="Symbol" w:hAnsi="Symbol"/>
    </w:rPr>
  </w:style>
  <w:style w:type="character" w:customStyle="1" w:styleId="MenuOptions">
    <w:name w:val="Menu Options"/>
    <w:basedOn w:val="DefaultParagraphFont"/>
    <w:rsid w:val="005C4E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E02"/>
    <w:rPr>
      <w:b/>
    </w:rPr>
  </w:style>
  <w:style w:type="character" w:customStyle="1" w:styleId="Underlined">
    <w:name w:val="Underlined"/>
    <w:basedOn w:val="DefaultParagraphFont"/>
    <w:rsid w:val="005C4E02"/>
    <w:rPr>
      <w:u w:val="single"/>
    </w:rPr>
  </w:style>
  <w:style w:type="paragraph" w:customStyle="1" w:styleId="TableBodyTextRight">
    <w:name w:val="Table Body Text Right"/>
    <w:basedOn w:val="TableBodyText"/>
    <w:rsid w:val="005C4E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E02"/>
    <w:rPr>
      <w:sz w:val="18"/>
    </w:rPr>
  </w:style>
  <w:style w:type="paragraph" w:customStyle="1" w:styleId="BodySmallRight">
    <w:name w:val="Body Small Right"/>
    <w:basedOn w:val="BodyTextRight"/>
    <w:rsid w:val="005C4E02"/>
    <w:rPr>
      <w:sz w:val="18"/>
      <w:szCs w:val="18"/>
    </w:rPr>
  </w:style>
  <w:style w:type="paragraph" w:customStyle="1" w:styleId="MarginEdition">
    <w:name w:val="Margin Edition"/>
    <w:basedOn w:val="MarginNote"/>
    <w:rsid w:val="005C4E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E02"/>
    <w:rPr>
      <w:sz w:val="2"/>
      <w:szCs w:val="2"/>
    </w:rPr>
  </w:style>
  <w:style w:type="character" w:customStyle="1" w:styleId="Small">
    <w:name w:val="Small"/>
    <w:basedOn w:val="DefaultParagraphFont"/>
    <w:rsid w:val="005C4E02"/>
    <w:rPr>
      <w:sz w:val="16"/>
    </w:rPr>
  </w:style>
  <w:style w:type="paragraph" w:customStyle="1" w:styleId="WideTable">
    <w:name w:val="Wide Table"/>
    <w:basedOn w:val="Normal"/>
    <w:rsid w:val="005C4E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E02"/>
  </w:style>
  <w:style w:type="paragraph" w:styleId="Quote">
    <w:name w:val="Quote"/>
    <w:basedOn w:val="Heading1"/>
    <w:link w:val="QuoteChar"/>
    <w:qFormat/>
    <w:rsid w:val="005C4E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E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E02"/>
    <w:pPr>
      <w:pageBreakBefore/>
    </w:pPr>
  </w:style>
  <w:style w:type="paragraph" w:customStyle="1" w:styleId="Border">
    <w:name w:val="Border"/>
    <w:basedOn w:val="Normal"/>
    <w:qFormat/>
    <w:rsid w:val="005C4E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E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E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E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E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E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E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E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E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E02"/>
    <w:rPr>
      <w:u w:val="single"/>
    </w:rPr>
  </w:style>
  <w:style w:type="character" w:customStyle="1" w:styleId="BoldandItalics">
    <w:name w:val="Bold and Italics"/>
    <w:qFormat/>
    <w:rsid w:val="005C4E02"/>
    <w:rPr>
      <w:b/>
      <w:i/>
      <w:u w:val="none"/>
    </w:rPr>
  </w:style>
  <w:style w:type="paragraph" w:styleId="BalloonText">
    <w:name w:val="Balloon Text"/>
    <w:basedOn w:val="Normal"/>
    <w:link w:val="BalloonTextChar"/>
    <w:rsid w:val="005C4E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E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E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E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E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E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E02"/>
    <w:pPr>
      <w:spacing w:before="0" w:after="0"/>
    </w:pPr>
  </w:style>
  <w:style w:type="paragraph" w:customStyle="1" w:styleId="BodyTextBold">
    <w:name w:val="Body Text Bold"/>
    <w:basedOn w:val="BodyText"/>
    <w:qFormat/>
    <w:rsid w:val="005C4E02"/>
    <w:rPr>
      <w:b/>
    </w:rPr>
  </w:style>
  <w:style w:type="character" w:styleId="Hyperlink">
    <w:name w:val="Hyperlink"/>
    <w:basedOn w:val="DefaultParagraphFont"/>
    <w:uiPriority w:val="99"/>
    <w:unhideWhenUsed/>
    <w:rsid w:val="00AC39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1955</Characters>
  <Application>Microsoft Office Word</Application>
  <DocSecurity>0</DocSecurity>
  <Lines>59</Lines>
  <Paragraphs>53</Paragraphs>
  <ScaleCrop>false</ScaleCrop>
  <Company>Author-it Software Corporation Ltd.</Company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PSPREG038 Give evidence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2022-11-21T09:16:00Z</dcterms:created>
  <dcterms:modified xsi:type="dcterms:W3CDTF">2022-11-21T09:16:00Z</dcterms:modified>
</cp:coreProperties>
</file>