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9AA" w:rsidP="004B0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PSPREG036 Act on non-compliance</w:t>
      </w:r>
      <w:r>
        <w:fldChar w:fldCharType="end"/>
      </w:r>
    </w:p>
    <w:p w:rsidR="004B09AA" w:rsidP="004B09AA">
      <w:pPr>
        <w:pStyle w:val="Version"/>
        <w:sectPr w:rsidSect="009D2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629" w:rsidP="009D2629">
      <w:pPr>
        <w:pStyle w:val="SuperHeading"/>
      </w:pPr>
      <w:r w:rsidRPr="009D2629">
        <w:t>PSPREG036 Act on non-compliance</w:t>
      </w:r>
    </w:p>
    <w:p w:rsidR="00000000" w:rsidRPr="009D2629" w:rsidP="009D2629">
      <w:pPr>
        <w:pStyle w:val="Heading1"/>
      </w:pPr>
      <w:bookmarkStart w:id="1" w:name="O_1216921"/>
      <w:bookmarkEnd w:id="1"/>
      <w:r w:rsidRPr="009D2629">
        <w:t>Modification History</w:t>
      </w:r>
    </w:p>
    <w:p w:rsidR="00000000" w:rsidRPr="009D2629" w:rsidP="004B09AA">
      <w:pPr>
        <w:pStyle w:val="BodyText"/>
      </w:pPr>
      <w:r w:rsidRPr="009D2629">
        <w:t xml:space="preserve">Supersedes and is not equivalent to PSPREG008 Act on non-compliance. </w:t>
      </w:r>
    </w:p>
    <w:p w:rsidR="00000000" w:rsidRPr="009D2629" w:rsidP="009D2629">
      <w:pPr>
        <w:pStyle w:val="Heading1"/>
      </w:pPr>
      <w:bookmarkStart w:id="2" w:name="O_1216922"/>
      <w:bookmarkEnd w:id="2"/>
      <w:r w:rsidRPr="009D2629">
        <w:t>Application</w:t>
      </w:r>
    </w:p>
    <w:p w:rsidR="00000000" w:rsidRPr="009D2629" w:rsidP="004B09AA">
      <w:pPr>
        <w:pStyle w:val="BodyText"/>
      </w:pPr>
      <w:r w:rsidRPr="009D2629">
        <w:t>This unit describes the performance outcomes, skills and knowledge required to issue advice, instructions, warnings, notices, fines an</w:t>
      </w:r>
      <w:r w:rsidRPr="009D2629">
        <w:t xml:space="preserve">d other actions in response to non-compliance situations. </w:t>
      </w:r>
    </w:p>
    <w:p w:rsidR="00000000" w:rsidRPr="009D2629" w:rsidP="004B09AA">
      <w:pPr>
        <w:pStyle w:val="BodyText"/>
      </w:pPr>
      <w:r w:rsidRPr="009D2629">
        <w:t>This unit applies to those working in roles conducting regulatory activities. Those undertaking this unit work as part of a team under routine guidance, performing routine tasks in a range of mostl</w:t>
      </w:r>
      <w:r w:rsidRPr="009D2629">
        <w:t>y familiar contexts.</w:t>
      </w:r>
    </w:p>
    <w:p w:rsidR="00000000" w:rsidRPr="009D2629" w:rsidP="004B09AA">
      <w:pPr>
        <w:pStyle w:val="BodyText"/>
      </w:pPr>
      <w:r w:rsidRPr="009D2629">
        <w:t>The skills in this unit must be applied in accordance with Commonwealth and State or Territory legislation, Australian standards and industry codes of practice.</w:t>
      </w:r>
    </w:p>
    <w:p w:rsidR="00000000" w:rsidRPr="009D2629" w:rsidP="004B09AA">
      <w:pPr>
        <w:pStyle w:val="BodyText"/>
      </w:pPr>
      <w:r w:rsidRPr="009D2629">
        <w:t>No occupational licensing, certification or specific legislative requireme</w:t>
      </w:r>
      <w:r w:rsidRPr="009D2629">
        <w:t>nts apply to this unit at the time of publication.</w:t>
      </w:r>
    </w:p>
    <w:p w:rsidR="00000000" w:rsidRPr="009D2629" w:rsidP="009D2629">
      <w:pPr>
        <w:pStyle w:val="Heading1"/>
      </w:pPr>
      <w:bookmarkStart w:id="3" w:name="O_1216923"/>
      <w:bookmarkEnd w:id="3"/>
      <w:r w:rsidRPr="009D2629">
        <w:t>Pre-requisite Unit</w:t>
      </w:r>
    </w:p>
    <w:p w:rsidR="00000000" w:rsidRPr="009D2629" w:rsidP="004B09AA">
      <w:pPr>
        <w:pStyle w:val="BodyText"/>
      </w:pPr>
      <w:r w:rsidRPr="009D2629">
        <w:t xml:space="preserve">Nil </w:t>
      </w:r>
    </w:p>
    <w:p w:rsidR="00000000" w:rsidRPr="009D2629" w:rsidP="009D2629">
      <w:pPr>
        <w:pStyle w:val="Heading1"/>
      </w:pPr>
      <w:bookmarkStart w:id="4" w:name="O_1216924"/>
      <w:bookmarkEnd w:id="4"/>
      <w:r w:rsidRPr="009D2629">
        <w:t>Competency Field</w:t>
      </w:r>
    </w:p>
    <w:p w:rsidR="00000000" w:rsidRPr="009D2629" w:rsidP="004B09AA">
      <w:pPr>
        <w:pStyle w:val="BodyText"/>
      </w:pPr>
      <w:r w:rsidRPr="009D2629">
        <w:t>Regulatory</w:t>
      </w:r>
    </w:p>
    <w:p w:rsidR="00000000" w:rsidRPr="009D2629" w:rsidP="009D2629">
      <w:pPr>
        <w:pStyle w:val="Heading1"/>
      </w:pPr>
      <w:bookmarkStart w:id="5" w:name="O_1216926"/>
      <w:bookmarkEnd w:id="5"/>
      <w:r w:rsidRPr="009D26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29"/>
        <w:gridCol w:w="5915"/>
      </w:tblGrid>
      <w:tr w:rsidTr="009D2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629" w:rsidP="009D2629">
            <w:pPr>
              <w:pStyle w:val="BodyText"/>
            </w:pPr>
            <w:r w:rsidRPr="009D2629">
              <w:rPr>
                <w:rStyle w:val="SpecialBold"/>
              </w:rPr>
              <w:t>ELEMENTS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629">
            <w:pPr>
              <w:pStyle w:val="BodyText"/>
              <w:rPr>
                <w:lang w:val="en-NZ"/>
              </w:rPr>
            </w:pPr>
            <w:r w:rsidRPr="009D2629">
              <w:rPr>
                <w:rStyle w:val="SpecialBold"/>
              </w:rPr>
              <w:t>PERFORMANCE</w:t>
            </w:r>
            <w:r w:rsidRPr="009D2629">
              <w:t xml:space="preserve"> </w:t>
            </w:r>
            <w:r w:rsidRPr="009D2629">
              <w:rPr>
                <w:rStyle w:val="SpecialBold"/>
              </w:rPr>
              <w:t>CRITERIA</w:t>
            </w:r>
          </w:p>
        </w:tc>
      </w:tr>
      <w:tr w:rsidTr="009D2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629" w:rsidP="009D2629">
            <w:pPr>
              <w:pStyle w:val="BodyText"/>
            </w:pPr>
            <w:r w:rsidRPr="009D2629">
              <w:rPr>
                <w:rStyle w:val="Emphasis"/>
              </w:rPr>
              <w:t>Elements describe the essential</w:t>
            </w:r>
            <w:r w:rsidRPr="009D2629">
              <w:rPr>
                <w:rStyle w:val="Emphasis"/>
              </w:rPr>
              <w:t xml:space="preserve"> outcomes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629">
            <w:pPr>
              <w:pStyle w:val="BodyText"/>
              <w:rPr>
                <w:lang w:val="en-NZ"/>
              </w:rPr>
            </w:pPr>
            <w:r w:rsidRPr="009D26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2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6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629">
            <w:pPr>
              <w:pStyle w:val="List"/>
              <w:rPr>
                <w:lang w:val="en-NZ"/>
              </w:rPr>
            </w:pPr>
            <w:r w:rsidRPr="009D2629">
              <w:t>1.  Attend situations where non-compliance is suspected or alleged.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629" w:rsidP="009D2629">
            <w:pPr>
              <w:pStyle w:val="List"/>
            </w:pPr>
            <w:r w:rsidRPr="009D2629">
              <w:t>1.1. Follow organisational and legal requirements to carry out suspected non-compliance check.</w:t>
            </w:r>
          </w:p>
          <w:p w:rsidR="00000000" w:rsidRPr="009D2629" w:rsidP="009D2629">
            <w:pPr>
              <w:pStyle w:val="List"/>
            </w:pPr>
            <w:r w:rsidRPr="009D2629">
              <w:t>1.2. Maintain personal conduct in accordance with organisational procedures.</w:t>
            </w:r>
          </w:p>
          <w:p w:rsidR="00000000" w:rsidRPr="009D2629" w:rsidP="009D2629">
            <w:pPr>
              <w:pStyle w:val="List"/>
            </w:pPr>
            <w:r w:rsidRPr="009D2629">
              <w:t>1.3. Protect the safety of self and others.</w:t>
            </w:r>
          </w:p>
          <w:p w:rsidR="00000000" w:rsidRPr="009D2629" w:rsidP="009D2629">
            <w:pPr>
              <w:pStyle w:val="List"/>
            </w:pPr>
            <w:r w:rsidRPr="009D2629">
              <w:t>1.4. Make requests for assistance from o</w:t>
            </w:r>
            <w:r w:rsidRPr="009D2629">
              <w:t xml:space="preserve">ther team members or external agencies in accordance with organisational procedures. </w:t>
            </w:r>
          </w:p>
          <w:p w:rsidR="00000000" w:rsidP="009D2629">
            <w:pPr>
              <w:pStyle w:val="List"/>
              <w:rPr>
                <w:lang w:val="en-NZ"/>
              </w:rPr>
            </w:pPr>
            <w:r w:rsidRPr="009D2629">
              <w:t>1.5. Carry out activities and actions in accordance with rules of evidence.</w:t>
            </w:r>
          </w:p>
        </w:tc>
      </w:tr>
      <w:tr w:rsidTr="009D2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629">
            <w:pPr>
              <w:pStyle w:val="List"/>
              <w:rPr>
                <w:lang w:val="en-NZ"/>
              </w:rPr>
            </w:pPr>
            <w:r w:rsidRPr="009D2629">
              <w:t>2.  Take action on non-compliance.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629" w:rsidP="009D2629">
            <w:pPr>
              <w:pStyle w:val="List"/>
            </w:pPr>
            <w:r w:rsidRPr="009D2629">
              <w:t>2.1. Identify and consider mitigating circumstances.</w:t>
            </w:r>
          </w:p>
          <w:p w:rsidR="00000000" w:rsidRPr="009D2629" w:rsidP="009D2629">
            <w:pPr>
              <w:pStyle w:val="List"/>
            </w:pPr>
            <w:r w:rsidRPr="009D2629">
              <w:t xml:space="preserve">2.2. </w:t>
            </w:r>
            <w:r w:rsidRPr="009D2629">
              <w:t>Select action on non-compliance to match the seriousness of the offence.</w:t>
            </w:r>
          </w:p>
          <w:p w:rsidR="00000000" w:rsidRPr="009D2629" w:rsidP="009D2629">
            <w:pPr>
              <w:pStyle w:val="List"/>
            </w:pPr>
            <w:r w:rsidRPr="009D2629">
              <w:t>2.3. Inform representatives of the regulated entity of the action, justification for it, and their rights of appeal.</w:t>
            </w:r>
          </w:p>
          <w:p w:rsidR="00000000" w:rsidRPr="009D2629" w:rsidP="009D2629">
            <w:pPr>
              <w:pStyle w:val="List"/>
            </w:pPr>
            <w:r w:rsidRPr="009D2629">
              <w:t>2.4. Take action in accordance with legal requirements.</w:t>
            </w:r>
          </w:p>
          <w:p w:rsidR="00000000" w:rsidRPr="009D2629" w:rsidP="009D2629">
            <w:pPr>
              <w:pStyle w:val="List"/>
            </w:pPr>
            <w:r w:rsidRPr="009D2629">
              <w:t>2.5. Carry</w:t>
            </w:r>
            <w:r w:rsidRPr="009D2629">
              <w:t xml:space="preserve"> out personal actions and conduct in accordance with organisational protocols and protect the rights and responsibilities of regulated entity.</w:t>
            </w:r>
          </w:p>
        </w:tc>
      </w:tr>
    </w:tbl>
    <w:p w:rsidR="00000000" w:rsidRPr="009D2629" w:rsidP="009D2629">
      <w:pPr>
        <w:pStyle w:val="BodyText"/>
      </w:pPr>
    </w:p>
    <w:p w:rsidR="00000000" w:rsidRPr="009D2629" w:rsidP="009D2629">
      <w:pPr>
        <w:pStyle w:val="AllowPageBreak"/>
      </w:pPr>
    </w:p>
    <w:p w:rsidR="00000000" w:rsidRPr="009D2629" w:rsidP="009D2629">
      <w:pPr>
        <w:pStyle w:val="Heading1"/>
      </w:pPr>
      <w:bookmarkStart w:id="6" w:name="O_1216927"/>
      <w:bookmarkEnd w:id="6"/>
      <w:r w:rsidRPr="009D262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D2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629">
            <w:pPr>
              <w:pStyle w:val="BodyText"/>
              <w:rPr>
                <w:lang w:val="en-NZ"/>
              </w:rPr>
            </w:pPr>
            <w:r w:rsidRPr="009D2629">
              <w:t>Foundation skills essential to performance in this unit, but not explicit in the performance criteria are listed here, along with a brief context statement.</w:t>
            </w:r>
          </w:p>
        </w:tc>
      </w:tr>
      <w:tr w:rsidTr="009D2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629" w:rsidP="009D2629">
            <w:pPr>
              <w:pStyle w:val="BodyText"/>
            </w:pPr>
            <w:r w:rsidRPr="009D262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629">
            <w:pPr>
              <w:pStyle w:val="BodyText"/>
              <w:rPr>
                <w:lang w:val="en-NZ"/>
              </w:rPr>
            </w:pPr>
            <w:r w:rsidRPr="009D2629">
              <w:rPr>
                <w:rStyle w:val="SpecialBold"/>
              </w:rPr>
              <w:t>DESCRIPTION</w:t>
            </w:r>
          </w:p>
        </w:tc>
      </w:tr>
      <w:tr w:rsidTr="009D2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629">
            <w:pPr>
              <w:pStyle w:val="BodyText"/>
              <w:rPr>
                <w:lang w:val="en-NZ"/>
              </w:rPr>
            </w:pPr>
            <w:r w:rsidRPr="009D262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629">
            <w:pPr>
              <w:pStyle w:val="ListBullet"/>
              <w:rPr>
                <w:lang w:val="en-NZ"/>
              </w:rPr>
            </w:pPr>
            <w:r w:rsidRPr="009D2629">
              <w:t>write with accuracy of expression and formality in structure and format in accordance with organisational requirements.</w:t>
            </w:r>
          </w:p>
        </w:tc>
      </w:tr>
      <w:tr w:rsidTr="009D2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629">
            <w:pPr>
              <w:pStyle w:val="BodyText"/>
              <w:rPr>
                <w:lang w:val="en-NZ"/>
              </w:rPr>
            </w:pPr>
            <w:r w:rsidRPr="009D262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629" w:rsidP="009D2629">
            <w:pPr>
              <w:pStyle w:val="ListBullet"/>
            </w:pPr>
            <w:r w:rsidRPr="009D2629">
              <w:t>undertake negotiation and conflict resolution</w:t>
            </w:r>
          </w:p>
          <w:p w:rsidR="00000000" w:rsidP="009D2629">
            <w:pPr>
              <w:pStyle w:val="ListBullet"/>
              <w:rPr>
                <w:lang w:val="en-NZ"/>
              </w:rPr>
            </w:pPr>
            <w:r w:rsidRPr="009D2629">
              <w:t>exchange often complex information in a form to suit diver</w:t>
            </w:r>
            <w:r w:rsidRPr="009D2629">
              <w:t>se audiences.</w:t>
            </w:r>
          </w:p>
        </w:tc>
      </w:tr>
      <w:tr w:rsidTr="009D2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629">
            <w:pPr>
              <w:pStyle w:val="BodyText"/>
              <w:rPr>
                <w:lang w:val="en-NZ"/>
              </w:rPr>
            </w:pPr>
            <w:r w:rsidRPr="009D2629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629" w:rsidP="009D2629">
            <w:pPr>
              <w:pStyle w:val="ListBullet"/>
            </w:pPr>
            <w:r w:rsidRPr="009D2629">
              <w:t>apply risk management and self-preservation techniques.</w:t>
            </w:r>
          </w:p>
        </w:tc>
      </w:tr>
    </w:tbl>
    <w:p w:rsidR="00000000" w:rsidRPr="009D2629" w:rsidP="009D2629">
      <w:pPr>
        <w:pStyle w:val="BodyText"/>
      </w:pPr>
    </w:p>
    <w:p w:rsidR="00000000" w:rsidRPr="009D2629" w:rsidP="009D2629">
      <w:pPr>
        <w:pStyle w:val="AllowPageBreak"/>
      </w:pPr>
    </w:p>
    <w:p w:rsidR="00000000" w:rsidRPr="009D2629" w:rsidP="009D2629">
      <w:pPr>
        <w:pStyle w:val="Heading1"/>
      </w:pPr>
      <w:bookmarkStart w:id="7" w:name="O_1216929"/>
      <w:bookmarkEnd w:id="7"/>
      <w:r w:rsidRPr="009D2629">
        <w:t>Unit Mapping Information</w:t>
      </w:r>
    </w:p>
    <w:p w:rsidR="00000000" w:rsidRPr="009D2629" w:rsidP="004B09AA">
      <w:pPr>
        <w:pStyle w:val="BodyText"/>
      </w:pPr>
      <w:r w:rsidRPr="009D2629">
        <w:t xml:space="preserve">Supersedes and is not equivalent to PSPREG008 Act on non-compliance. </w:t>
      </w:r>
    </w:p>
    <w:p w:rsidR="00000000" w:rsidRPr="009D2629" w:rsidP="009D2629">
      <w:pPr>
        <w:pStyle w:val="Heading1"/>
      </w:pPr>
      <w:bookmarkStart w:id="8" w:name="O_1216936"/>
      <w:bookmarkEnd w:id="8"/>
      <w:r w:rsidRPr="009D2629">
        <w:t>Links</w:t>
      </w:r>
    </w:p>
    <w:p w:rsidR="00000000" w:rsidRPr="009D2629" w:rsidP="004B09AA">
      <w:pPr>
        <w:pStyle w:val="BodyText"/>
      </w:pPr>
      <w:r w:rsidRPr="009D26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C75E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D2629" w:rsidP="009D2629"/>
    <w:sectPr w:rsidSect="009D26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29" w:rsidRPr="004B09AA" w:rsidP="004B0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AA" w:rsidP="009D2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9AA" w:rsidP="009D2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B09AA" w:rsidP="009D2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629" w:rsidRPr="004B09AA" w:rsidP="004B0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AA" w:rsidRPr="002D2AF8" w:rsidP="009D2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PSPREG036 Act on non-compliance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B09AA" w:rsidP="009D2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482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00C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629"/>
  </w:style>
  <w:style w:type="character" w:customStyle="1" w:styleId="Heading1Char">
    <w:name w:val="Heading 1 Char"/>
    <w:basedOn w:val="DefaultParagraphFont"/>
    <w:link w:val="Heading1"/>
    <w:rsid w:val="009D2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6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26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26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629"/>
    <w:rPr>
      <w:b/>
      <w:spacing w:val="0"/>
    </w:rPr>
  </w:style>
  <w:style w:type="character" w:styleId="Emphasis">
    <w:name w:val="Emphasis"/>
    <w:basedOn w:val="DefaultParagraphFont"/>
    <w:qFormat/>
    <w:rsid w:val="009D2629"/>
    <w:rPr>
      <w:i/>
    </w:rPr>
  </w:style>
  <w:style w:type="paragraph" w:customStyle="1" w:styleId="SuperHeading">
    <w:name w:val="SuperHeading"/>
    <w:basedOn w:val="Normal"/>
    <w:rsid w:val="009D2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6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2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6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6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2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629"/>
  </w:style>
  <w:style w:type="paragraph" w:styleId="TableofFigures">
    <w:name w:val="table of figures"/>
    <w:basedOn w:val="Normal"/>
    <w:next w:val="Normal"/>
    <w:semiHidden/>
    <w:rsid w:val="009D2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6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2629"/>
    <w:rPr>
      <w:rFonts w:ascii="Wingdings" w:hAnsi="Wingdings"/>
    </w:rPr>
  </w:style>
  <w:style w:type="paragraph" w:customStyle="1" w:styleId="TableHeading">
    <w:name w:val="Table Heading"/>
    <w:basedOn w:val="HeadingBase"/>
    <w:rsid w:val="009D2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629"/>
    <w:rPr>
      <w:color w:val="0033CC"/>
      <w:u w:val="none"/>
    </w:rPr>
  </w:style>
  <w:style w:type="paragraph" w:customStyle="1" w:styleId="BodyTextRight">
    <w:name w:val="Body Text Right"/>
    <w:basedOn w:val="BodyText"/>
    <w:rsid w:val="009D2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6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629"/>
    <w:rPr>
      <w:sz w:val="32"/>
    </w:rPr>
  </w:style>
  <w:style w:type="paragraph" w:customStyle="1" w:styleId="HeadingProcedure">
    <w:name w:val="Heading Procedure"/>
    <w:basedOn w:val="HeadingBase"/>
    <w:next w:val="Normal"/>
    <w:rsid w:val="009D2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629"/>
    <w:pPr>
      <w:spacing w:before="60" w:after="60"/>
    </w:pPr>
  </w:style>
  <w:style w:type="paragraph" w:styleId="ListContinue">
    <w:name w:val="List Continue"/>
    <w:basedOn w:val="List"/>
    <w:rsid w:val="009D2629"/>
    <w:pPr>
      <w:ind w:firstLine="0"/>
    </w:pPr>
  </w:style>
  <w:style w:type="paragraph" w:customStyle="1" w:styleId="ListNote">
    <w:name w:val="List Note"/>
    <w:basedOn w:val="List"/>
    <w:rsid w:val="009D2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629"/>
    <w:rPr>
      <w:rFonts w:ascii="Courier New" w:hAnsi="Courier New"/>
    </w:rPr>
  </w:style>
  <w:style w:type="paragraph" w:customStyle="1" w:styleId="NoteBullet">
    <w:name w:val="Note Bullet"/>
    <w:basedOn w:val="Note"/>
    <w:rsid w:val="009D2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6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2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629"/>
    <w:rPr>
      <w:b/>
      <w:smallCaps/>
    </w:rPr>
  </w:style>
  <w:style w:type="paragraph" w:customStyle="1" w:styleId="TableListNumber">
    <w:name w:val="Table List Number"/>
    <w:basedOn w:val="ListNumber"/>
    <w:rsid w:val="009D2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629"/>
    <w:pPr>
      <w:numPr>
        <w:numId w:val="8"/>
      </w:numPr>
    </w:pPr>
  </w:style>
  <w:style w:type="paragraph" w:customStyle="1" w:styleId="ListAlpha2">
    <w:name w:val="List Alpha 2"/>
    <w:basedOn w:val="List2"/>
    <w:rsid w:val="009D2629"/>
    <w:pPr>
      <w:numPr>
        <w:numId w:val="7"/>
      </w:numPr>
    </w:pPr>
  </w:style>
  <w:style w:type="paragraph" w:styleId="List2">
    <w:name w:val="List 2"/>
    <w:basedOn w:val="BodyText"/>
    <w:rsid w:val="009D2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6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6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2629"/>
    <w:pPr>
      <w:numPr>
        <w:numId w:val="3"/>
      </w:numPr>
    </w:pPr>
  </w:style>
  <w:style w:type="paragraph" w:styleId="ListContinue2">
    <w:name w:val="List Continue 2"/>
    <w:basedOn w:val="List2"/>
    <w:rsid w:val="009D2629"/>
    <w:pPr>
      <w:ind w:firstLine="0"/>
    </w:pPr>
  </w:style>
  <w:style w:type="paragraph" w:styleId="ListContinue3">
    <w:name w:val="List Continue 3"/>
    <w:basedOn w:val="List3"/>
    <w:rsid w:val="009D2629"/>
    <w:pPr>
      <w:ind w:left="1021" w:firstLine="0"/>
    </w:pPr>
  </w:style>
  <w:style w:type="paragraph" w:styleId="ListContinue4">
    <w:name w:val="List Continue 4"/>
    <w:basedOn w:val="List4"/>
    <w:rsid w:val="009D2629"/>
    <w:pPr>
      <w:ind w:firstLine="0"/>
    </w:pPr>
  </w:style>
  <w:style w:type="paragraph" w:styleId="ListContinue5">
    <w:name w:val="List Continue 5"/>
    <w:basedOn w:val="List5"/>
    <w:rsid w:val="009D2629"/>
    <w:pPr>
      <w:ind w:firstLine="0"/>
    </w:pPr>
  </w:style>
  <w:style w:type="paragraph" w:styleId="ListNumber3">
    <w:name w:val="List Number 3"/>
    <w:basedOn w:val="List3"/>
    <w:rsid w:val="009D2629"/>
    <w:pPr>
      <w:numPr>
        <w:numId w:val="4"/>
      </w:numPr>
    </w:pPr>
  </w:style>
  <w:style w:type="paragraph" w:styleId="ListNumber4">
    <w:name w:val="List Number 4"/>
    <w:basedOn w:val="List4"/>
    <w:rsid w:val="009D2629"/>
    <w:pPr>
      <w:numPr>
        <w:numId w:val="5"/>
      </w:numPr>
    </w:pPr>
  </w:style>
  <w:style w:type="paragraph" w:styleId="ListNumber5">
    <w:name w:val="List Number 5"/>
    <w:basedOn w:val="List5"/>
    <w:rsid w:val="009D2629"/>
    <w:pPr>
      <w:numPr>
        <w:numId w:val="6"/>
      </w:numPr>
    </w:pPr>
  </w:style>
  <w:style w:type="paragraph" w:styleId="BlockText">
    <w:name w:val="Block Text"/>
    <w:basedOn w:val="Normal"/>
    <w:rsid w:val="009D2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629"/>
    <w:rPr>
      <w:sz w:val="16"/>
      <w:vertAlign w:val="superscript"/>
    </w:rPr>
  </w:style>
  <w:style w:type="character" w:customStyle="1" w:styleId="Symbols">
    <w:name w:val="Symbols"/>
    <w:basedOn w:val="DefaultParagraphFont"/>
    <w:rsid w:val="009D2629"/>
    <w:rPr>
      <w:rFonts w:ascii="Symbol" w:hAnsi="Symbol"/>
    </w:rPr>
  </w:style>
  <w:style w:type="character" w:customStyle="1" w:styleId="MenuOptions">
    <w:name w:val="Menu Options"/>
    <w:basedOn w:val="DefaultParagraphFont"/>
    <w:rsid w:val="009D2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629"/>
    <w:rPr>
      <w:b/>
    </w:rPr>
  </w:style>
  <w:style w:type="character" w:customStyle="1" w:styleId="Underlined">
    <w:name w:val="Underlined"/>
    <w:basedOn w:val="DefaultParagraphFont"/>
    <w:rsid w:val="009D2629"/>
    <w:rPr>
      <w:u w:val="single"/>
    </w:rPr>
  </w:style>
  <w:style w:type="paragraph" w:customStyle="1" w:styleId="TableBodyTextRight">
    <w:name w:val="Table Body Text Right"/>
    <w:basedOn w:val="TableBodyText"/>
    <w:rsid w:val="009D2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629"/>
    <w:rPr>
      <w:sz w:val="18"/>
    </w:rPr>
  </w:style>
  <w:style w:type="paragraph" w:customStyle="1" w:styleId="BodySmallRight">
    <w:name w:val="Body Small Right"/>
    <w:basedOn w:val="BodyTextRight"/>
    <w:rsid w:val="009D2629"/>
    <w:rPr>
      <w:sz w:val="18"/>
      <w:szCs w:val="18"/>
    </w:rPr>
  </w:style>
  <w:style w:type="paragraph" w:customStyle="1" w:styleId="MarginEdition">
    <w:name w:val="Margin Edition"/>
    <w:basedOn w:val="MarginNote"/>
    <w:rsid w:val="009D2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629"/>
    <w:rPr>
      <w:sz w:val="2"/>
      <w:szCs w:val="2"/>
    </w:rPr>
  </w:style>
  <w:style w:type="character" w:customStyle="1" w:styleId="Small">
    <w:name w:val="Small"/>
    <w:basedOn w:val="DefaultParagraphFont"/>
    <w:rsid w:val="009D2629"/>
    <w:rPr>
      <w:sz w:val="16"/>
    </w:rPr>
  </w:style>
  <w:style w:type="paragraph" w:customStyle="1" w:styleId="WideTable">
    <w:name w:val="Wide Table"/>
    <w:basedOn w:val="Normal"/>
    <w:rsid w:val="009D2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629"/>
  </w:style>
  <w:style w:type="paragraph" w:styleId="Quote">
    <w:name w:val="Quote"/>
    <w:basedOn w:val="Heading1"/>
    <w:link w:val="QuoteChar"/>
    <w:qFormat/>
    <w:rsid w:val="009D2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629"/>
    <w:pPr>
      <w:pageBreakBefore/>
    </w:pPr>
  </w:style>
  <w:style w:type="paragraph" w:customStyle="1" w:styleId="Border">
    <w:name w:val="Border"/>
    <w:basedOn w:val="Normal"/>
    <w:qFormat/>
    <w:rsid w:val="009D2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629"/>
    <w:rPr>
      <w:u w:val="single"/>
    </w:rPr>
  </w:style>
  <w:style w:type="character" w:customStyle="1" w:styleId="BoldandItalics">
    <w:name w:val="Bold and Italics"/>
    <w:qFormat/>
    <w:rsid w:val="009D2629"/>
    <w:rPr>
      <w:b/>
      <w:i/>
      <w:u w:val="none"/>
    </w:rPr>
  </w:style>
  <w:style w:type="paragraph" w:styleId="BalloonText">
    <w:name w:val="Balloon Text"/>
    <w:basedOn w:val="Normal"/>
    <w:link w:val="BalloonTextChar"/>
    <w:rsid w:val="009D2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629"/>
    <w:pPr>
      <w:spacing w:before="0" w:after="0"/>
    </w:pPr>
  </w:style>
  <w:style w:type="paragraph" w:customStyle="1" w:styleId="BodyTextBold">
    <w:name w:val="Body Text Bold"/>
    <w:basedOn w:val="BodyText"/>
    <w:qFormat/>
    <w:rsid w:val="009D2629"/>
    <w:rPr>
      <w:b/>
    </w:rPr>
  </w:style>
  <w:style w:type="character" w:styleId="Hyperlink">
    <w:name w:val="Hyperlink"/>
    <w:basedOn w:val="DefaultParagraphFont"/>
    <w:uiPriority w:val="99"/>
    <w:unhideWhenUsed/>
    <w:rsid w:val="004B0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417</Words>
  <Characters>2694</Characters>
  <Application>Microsoft Office Word</Application>
  <DocSecurity>0</DocSecurity>
  <Lines>89</Lines>
  <Paragraphs>55</Paragraphs>
  <ScaleCrop>false</ScaleCrop>
  <Company>Author-it Software Corporation Ltd.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PSPREG036 Act on non-compliance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