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636C" w:rsidP="00AB63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PSPREG034 Assess compliance</w:t>
      </w:r>
      <w:r>
        <w:fldChar w:fldCharType="end"/>
      </w:r>
    </w:p>
    <w:p w:rsidR="00AB636C" w:rsidP="00AB636C">
      <w:pPr>
        <w:pStyle w:val="Version"/>
        <w:sectPr w:rsidSect="00031A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1ADE" w:rsidP="00031ADE">
      <w:pPr>
        <w:pStyle w:val="SuperHeading"/>
      </w:pPr>
      <w:r w:rsidRPr="00031ADE">
        <w:t>PSPREG034 Assess compliance</w:t>
      </w:r>
    </w:p>
    <w:p w:rsidR="00000000" w:rsidRPr="00031ADE" w:rsidP="00031ADE">
      <w:pPr>
        <w:pStyle w:val="Heading1"/>
      </w:pPr>
      <w:bookmarkStart w:id="1" w:name="O_1216883"/>
      <w:bookmarkEnd w:id="1"/>
      <w:r w:rsidRPr="00031ADE">
        <w:t>Modification History</w:t>
      </w:r>
    </w:p>
    <w:p w:rsidR="00000000" w:rsidRPr="00031ADE" w:rsidP="00AB636C">
      <w:pPr>
        <w:pStyle w:val="BodyText"/>
      </w:pPr>
      <w:r w:rsidRPr="00031ADE">
        <w:t>Supersedes and is not equivalent to PSPREG005 Assess compliance.</w:t>
      </w:r>
    </w:p>
    <w:p w:rsidR="00000000" w:rsidRPr="00031ADE" w:rsidP="00031ADE">
      <w:pPr>
        <w:pStyle w:val="Heading1"/>
      </w:pPr>
      <w:bookmarkStart w:id="2" w:name="O_1216884"/>
      <w:bookmarkEnd w:id="2"/>
      <w:r w:rsidRPr="00031ADE">
        <w:t>Application</w:t>
      </w:r>
    </w:p>
    <w:p w:rsidR="00000000" w:rsidRPr="00031ADE" w:rsidP="00AB636C">
      <w:pPr>
        <w:pStyle w:val="BodyText"/>
      </w:pPr>
      <w:r w:rsidRPr="00031ADE">
        <w:t>This unit describes the performance outcomes, skills and knowledge required to assess risk, monitor situations, environments and behaviours</w:t>
      </w:r>
      <w:r w:rsidRPr="00031ADE">
        <w:t xml:space="preserve">, and analyse information to assess compliance with legislation and standards. </w:t>
      </w:r>
    </w:p>
    <w:p w:rsidR="00000000" w:rsidRPr="00031ADE" w:rsidP="00AB636C">
      <w:pPr>
        <w:pStyle w:val="BodyText"/>
      </w:pPr>
      <w:r w:rsidRPr="00031ADE">
        <w:t>This unit applies to those working in regulatory roles involving compliance assessment. Those undertaking this unit work independently, performing routine tasks in a range of f</w:t>
      </w:r>
      <w:r w:rsidRPr="00031ADE">
        <w:t>amiliar and unfamiliar contexts.</w:t>
      </w:r>
    </w:p>
    <w:p w:rsidR="00000000" w:rsidRPr="00031ADE" w:rsidP="00AB636C">
      <w:pPr>
        <w:pStyle w:val="BodyText"/>
      </w:pPr>
      <w:r w:rsidRPr="00031ADE">
        <w:t>The skills in this unit must be applied in accordance with Commonwealth and State or Territory legislation, Australian standards and industry codes of practice.</w:t>
      </w:r>
    </w:p>
    <w:p w:rsidR="00000000" w:rsidRPr="00031ADE" w:rsidP="00AB636C">
      <w:pPr>
        <w:pStyle w:val="BodyText"/>
      </w:pPr>
      <w:r w:rsidRPr="00031ADE">
        <w:t>No occupational licensing, certification or specific legislati</w:t>
      </w:r>
      <w:r w:rsidRPr="00031ADE">
        <w:t>ve requirements apply to this unit at the time of publication.</w:t>
      </w:r>
    </w:p>
    <w:p w:rsidR="00000000" w:rsidRPr="00031ADE" w:rsidP="00031ADE">
      <w:pPr>
        <w:pStyle w:val="Heading1"/>
      </w:pPr>
      <w:bookmarkStart w:id="3" w:name="O_1216885"/>
      <w:bookmarkEnd w:id="3"/>
      <w:r w:rsidRPr="00031ADE">
        <w:t>Pre-requisite Unit</w:t>
      </w:r>
    </w:p>
    <w:p w:rsidR="00000000" w:rsidRPr="00031ADE" w:rsidP="00AB636C">
      <w:pPr>
        <w:pStyle w:val="BodyText"/>
      </w:pPr>
      <w:r w:rsidRPr="00031ADE">
        <w:t xml:space="preserve">Nil </w:t>
      </w:r>
    </w:p>
    <w:p w:rsidR="00000000" w:rsidRPr="00031ADE" w:rsidP="00031ADE">
      <w:pPr>
        <w:pStyle w:val="Heading1"/>
      </w:pPr>
      <w:bookmarkStart w:id="4" w:name="O_1216886"/>
      <w:bookmarkEnd w:id="4"/>
      <w:r w:rsidRPr="00031ADE">
        <w:t>Competency Field</w:t>
      </w:r>
    </w:p>
    <w:p w:rsidR="00000000" w:rsidRPr="00031ADE" w:rsidP="00AB636C">
      <w:pPr>
        <w:pStyle w:val="BodyText"/>
      </w:pPr>
      <w:r w:rsidRPr="00031ADE">
        <w:t>Regulatory</w:t>
      </w:r>
    </w:p>
    <w:p w:rsidR="00000000" w:rsidRPr="00031ADE" w:rsidP="00031ADE">
      <w:pPr>
        <w:pStyle w:val="Heading1"/>
      </w:pPr>
      <w:bookmarkStart w:id="5" w:name="O_1216888"/>
      <w:bookmarkEnd w:id="5"/>
      <w:r w:rsidRPr="00031AD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31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ADE" w:rsidP="00031ADE">
            <w:pPr>
              <w:pStyle w:val="BodyText"/>
            </w:pPr>
            <w:r w:rsidRPr="00031ADE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ADE">
            <w:pPr>
              <w:pStyle w:val="BodyText"/>
              <w:rPr>
                <w:lang w:val="en-NZ"/>
              </w:rPr>
            </w:pPr>
            <w:r w:rsidRPr="00031ADE">
              <w:rPr>
                <w:rStyle w:val="SpecialBold"/>
              </w:rPr>
              <w:t>PERFORMANCE</w:t>
            </w:r>
            <w:r w:rsidRPr="00031ADE">
              <w:t xml:space="preserve"> </w:t>
            </w:r>
            <w:r w:rsidRPr="00031ADE">
              <w:rPr>
                <w:rStyle w:val="SpecialBold"/>
              </w:rPr>
              <w:t>CRITERIA</w:t>
            </w:r>
          </w:p>
        </w:tc>
      </w:tr>
      <w:tr w:rsidTr="00031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ADE" w:rsidP="00031ADE">
            <w:pPr>
              <w:pStyle w:val="BodyText"/>
            </w:pPr>
            <w:r w:rsidRPr="00031ADE">
              <w:rPr>
                <w:rStyle w:val="Emphasis"/>
              </w:rPr>
              <w:t>Elements describe t</w:t>
            </w:r>
            <w:r w:rsidRPr="00031ADE">
              <w:rPr>
                <w:rStyle w:val="Emphasis"/>
              </w:rPr>
              <w:t>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ADE">
            <w:pPr>
              <w:pStyle w:val="BodyText"/>
              <w:rPr>
                <w:lang w:val="en-NZ"/>
              </w:rPr>
            </w:pPr>
            <w:r w:rsidRPr="00031AD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31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9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ADE">
            <w:pPr>
              <w:pStyle w:val="List"/>
              <w:rPr>
                <w:lang w:val="en-NZ"/>
              </w:rPr>
            </w:pPr>
            <w:r w:rsidRPr="00031ADE">
              <w:t>1.  Monitor areas under jurisdiction.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ADE" w:rsidP="00031ADE">
            <w:pPr>
              <w:pStyle w:val="List"/>
            </w:pPr>
            <w:r w:rsidRPr="00031ADE">
              <w:t>1.1. Conduct risk assessment analysis to identify and prioritise areas for monitoring and to identify methodology.</w:t>
            </w:r>
          </w:p>
          <w:p w:rsidR="00000000" w:rsidRPr="00031ADE" w:rsidP="00031ADE">
            <w:pPr>
              <w:pStyle w:val="List"/>
            </w:pPr>
            <w:r w:rsidRPr="00031ADE">
              <w:t>1.2. Conduct inspections and compliance audits.</w:t>
            </w:r>
          </w:p>
          <w:p w:rsidR="00000000" w:rsidRPr="00031ADE" w:rsidP="00031ADE">
            <w:pPr>
              <w:pStyle w:val="List"/>
            </w:pPr>
            <w:r w:rsidRPr="00031ADE">
              <w:t>1.3. Use specialist equipment when required.</w:t>
            </w:r>
          </w:p>
          <w:p w:rsidR="00000000" w:rsidRPr="00031ADE" w:rsidP="00031ADE">
            <w:pPr>
              <w:pStyle w:val="List"/>
            </w:pPr>
            <w:r w:rsidRPr="00031ADE">
              <w:t>1.4. Protect the safety of self and others.</w:t>
            </w:r>
          </w:p>
          <w:p w:rsidR="00000000" w:rsidP="00031ADE">
            <w:pPr>
              <w:pStyle w:val="List"/>
              <w:rPr>
                <w:lang w:val="en-NZ"/>
              </w:rPr>
            </w:pPr>
            <w:r w:rsidRPr="00031ADE">
              <w:t>1.5.</w:t>
            </w:r>
            <w:r w:rsidRPr="00031ADE">
              <w:t xml:space="preserve"> Facilitate cooperation with other organisations and jurisdictions.</w:t>
            </w:r>
          </w:p>
        </w:tc>
      </w:tr>
      <w:tr w:rsidTr="00031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ADE">
            <w:pPr>
              <w:pStyle w:val="List"/>
              <w:rPr>
                <w:lang w:val="en-NZ"/>
              </w:rPr>
            </w:pPr>
            <w:r w:rsidRPr="00031ADE">
              <w:t>2.  Receive allegation of non-compliance.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ADE" w:rsidP="00031ADE">
            <w:pPr>
              <w:pStyle w:val="List"/>
            </w:pPr>
            <w:r w:rsidRPr="00031ADE">
              <w:t>2.1. Record referrals relating to non-compliance.</w:t>
            </w:r>
          </w:p>
          <w:p w:rsidR="00000000" w:rsidRPr="00031ADE" w:rsidP="00031ADE">
            <w:pPr>
              <w:pStyle w:val="List"/>
            </w:pPr>
            <w:r w:rsidRPr="00031ADE">
              <w:t>2.2. Respond to possible and potential breaches within applicable time frames.</w:t>
            </w:r>
          </w:p>
          <w:p w:rsidR="00000000" w:rsidRPr="00031ADE" w:rsidP="00031ADE">
            <w:pPr>
              <w:pStyle w:val="List"/>
            </w:pPr>
            <w:r w:rsidRPr="00031ADE">
              <w:t>2.3. Assess prel</w:t>
            </w:r>
            <w:r w:rsidRPr="00031ADE">
              <w:t>iminary information to establish the offence and validate to confirm the need for action.</w:t>
            </w:r>
          </w:p>
          <w:p w:rsidR="00000000" w:rsidP="00031ADE">
            <w:pPr>
              <w:pStyle w:val="List"/>
              <w:rPr>
                <w:lang w:val="en-NZ"/>
              </w:rPr>
            </w:pPr>
            <w:r w:rsidRPr="00031ADE">
              <w:t>2.4. Address complaints including referral to more senior personnel as required.</w:t>
            </w:r>
          </w:p>
        </w:tc>
      </w:tr>
      <w:tr w:rsidTr="00031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ADE">
            <w:pPr>
              <w:pStyle w:val="List"/>
              <w:rPr>
                <w:lang w:val="en-NZ"/>
              </w:rPr>
            </w:pPr>
            <w:r w:rsidRPr="00031ADE">
              <w:t>3.  Determine levels of compliance.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ADE" w:rsidP="00031ADE">
            <w:pPr>
              <w:pStyle w:val="List"/>
            </w:pPr>
            <w:r w:rsidRPr="00031ADE">
              <w:t>3.1. Seek assistance to obtain advice on methodology and measures to prevent gaps occurring in evidence collection.</w:t>
            </w:r>
          </w:p>
          <w:p w:rsidR="00000000" w:rsidRPr="00031ADE" w:rsidP="00031ADE">
            <w:pPr>
              <w:pStyle w:val="List"/>
            </w:pPr>
            <w:r w:rsidRPr="00031ADE">
              <w:t>3.2. Select evidence collection methodology according to the purpose, situation and operational guidelines.</w:t>
            </w:r>
          </w:p>
          <w:p w:rsidR="00000000" w:rsidRPr="00031ADE" w:rsidP="00031ADE">
            <w:pPr>
              <w:pStyle w:val="List"/>
            </w:pPr>
            <w:r w:rsidRPr="00031ADE">
              <w:t>3.3. Collect, analyse and secure</w:t>
            </w:r>
            <w:r w:rsidRPr="00031ADE">
              <w:t xml:space="preserve"> information including samples.</w:t>
            </w:r>
          </w:p>
          <w:p w:rsidR="00000000" w:rsidRPr="00031ADE" w:rsidP="00031ADE">
            <w:pPr>
              <w:pStyle w:val="List"/>
            </w:pPr>
            <w:r w:rsidRPr="00031ADE">
              <w:t>3.4. Ensure information is relevant and sufficient for the purpose identified.</w:t>
            </w:r>
          </w:p>
          <w:p w:rsidR="00000000" w:rsidRPr="00031ADE" w:rsidP="00031ADE">
            <w:pPr>
              <w:pStyle w:val="List"/>
            </w:pPr>
            <w:r w:rsidRPr="00031ADE">
              <w:t>3.5. Assess against the requirements of the legislation and identify and document the level(s) of compliance.</w:t>
            </w:r>
          </w:p>
          <w:p w:rsidR="00000000" w:rsidRPr="00031ADE" w:rsidP="00031ADE">
            <w:pPr>
              <w:pStyle w:val="List"/>
            </w:pPr>
            <w:r w:rsidRPr="00031ADE">
              <w:t>3.6. Determine further action consi</w:t>
            </w:r>
            <w:r w:rsidRPr="00031ADE">
              <w:t>stent with the level(s) of compliance and record or report according to organisation procedures.</w:t>
            </w:r>
          </w:p>
        </w:tc>
      </w:tr>
    </w:tbl>
    <w:p w:rsidR="00000000" w:rsidRPr="00031ADE" w:rsidP="00031ADE">
      <w:pPr>
        <w:pStyle w:val="BodyText"/>
      </w:pPr>
    </w:p>
    <w:p w:rsidR="00000000" w:rsidRPr="00031ADE" w:rsidP="00031ADE">
      <w:pPr>
        <w:pStyle w:val="AllowPageBreak"/>
      </w:pPr>
    </w:p>
    <w:p w:rsidR="00000000" w:rsidRPr="00031ADE" w:rsidP="00031ADE">
      <w:pPr>
        <w:pStyle w:val="Heading1"/>
      </w:pPr>
      <w:bookmarkStart w:id="6" w:name="O_1216889"/>
      <w:bookmarkEnd w:id="6"/>
      <w:r w:rsidRPr="00031AD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31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ADE">
            <w:pPr>
              <w:pStyle w:val="BodyText"/>
              <w:rPr>
                <w:lang w:val="en-NZ"/>
              </w:rPr>
            </w:pPr>
            <w:r w:rsidRPr="00031ADE">
              <w:t>Foundation skills essential to performance in this unit, but not explicit in the performance criteria are listed here, a</w:t>
            </w:r>
            <w:r w:rsidRPr="00031ADE">
              <w:t>long with a brief context statement.</w:t>
            </w:r>
          </w:p>
        </w:tc>
      </w:tr>
      <w:tr w:rsidTr="00031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ADE" w:rsidP="00031ADE">
            <w:pPr>
              <w:pStyle w:val="BodyText"/>
            </w:pPr>
            <w:r w:rsidRPr="00031ADE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ADE">
            <w:pPr>
              <w:pStyle w:val="BodyText"/>
              <w:rPr>
                <w:lang w:val="en-NZ"/>
              </w:rPr>
            </w:pPr>
            <w:r w:rsidRPr="00031ADE">
              <w:rPr>
                <w:rStyle w:val="SpecialBold"/>
              </w:rPr>
              <w:t>DESCRIPTION</w:t>
            </w:r>
          </w:p>
        </w:tc>
      </w:tr>
      <w:tr w:rsidTr="00031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4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ADE">
            <w:pPr>
              <w:pStyle w:val="BodyText"/>
              <w:rPr>
                <w:lang w:val="en-NZ"/>
              </w:rPr>
            </w:pPr>
            <w:r w:rsidRPr="00031ADE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ADE">
            <w:pPr>
              <w:pStyle w:val="ListBullet"/>
              <w:rPr>
                <w:lang w:val="en-NZ"/>
              </w:rPr>
            </w:pPr>
            <w:r w:rsidRPr="00031ADE">
              <w:t>interpret and apply complex information from legislation.</w:t>
            </w:r>
          </w:p>
        </w:tc>
      </w:tr>
      <w:tr w:rsidTr="00031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ADE">
            <w:pPr>
              <w:pStyle w:val="BodyText"/>
              <w:rPr>
                <w:lang w:val="en-NZ"/>
              </w:rPr>
            </w:pPr>
            <w:r w:rsidRPr="00031ADE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ADE">
            <w:pPr>
              <w:pStyle w:val="ListBullet"/>
              <w:rPr>
                <w:lang w:val="en-NZ"/>
              </w:rPr>
            </w:pPr>
            <w:r w:rsidRPr="00031ADE">
              <w:t>use questioning and negotiation in sometimes difficult situations.</w:t>
            </w:r>
          </w:p>
        </w:tc>
      </w:tr>
      <w:tr w:rsidTr="00031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2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ADE">
            <w:pPr>
              <w:pStyle w:val="BodyText"/>
              <w:rPr>
                <w:lang w:val="en-NZ"/>
              </w:rPr>
            </w:pPr>
            <w:r w:rsidRPr="00031ADE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ADE">
            <w:pPr>
              <w:pStyle w:val="ListBullet"/>
              <w:rPr>
                <w:lang w:val="en-NZ"/>
              </w:rPr>
            </w:pPr>
            <w:r w:rsidRPr="00031ADE">
              <w:t>analyse, record and report mathematical data to support decisions relating to compliance.</w:t>
            </w:r>
          </w:p>
        </w:tc>
      </w:tr>
      <w:tr w:rsidTr="00031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1ADE">
            <w:pPr>
              <w:pStyle w:val="BodyText"/>
              <w:rPr>
                <w:lang w:val="en-NZ"/>
              </w:rPr>
            </w:pPr>
            <w:r w:rsidRPr="00031ADE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1ADE" w:rsidP="00031ADE">
            <w:pPr>
              <w:pStyle w:val="ListBullet"/>
            </w:pPr>
            <w:r w:rsidRPr="00031ADE">
              <w:t>use information technology for data analysis, recording and reporting.</w:t>
            </w:r>
          </w:p>
        </w:tc>
      </w:tr>
    </w:tbl>
    <w:p w:rsidR="00000000" w:rsidRPr="00031ADE" w:rsidP="00031ADE">
      <w:pPr>
        <w:pStyle w:val="BodyText"/>
      </w:pPr>
    </w:p>
    <w:p w:rsidR="00000000" w:rsidRPr="00031ADE" w:rsidP="00031ADE">
      <w:pPr>
        <w:pStyle w:val="AllowPageBreak"/>
      </w:pPr>
    </w:p>
    <w:p w:rsidR="00000000" w:rsidRPr="00031ADE" w:rsidP="00031ADE">
      <w:pPr>
        <w:pStyle w:val="Heading1"/>
      </w:pPr>
      <w:bookmarkStart w:id="7" w:name="O_1216891"/>
      <w:bookmarkEnd w:id="7"/>
      <w:r w:rsidRPr="00031ADE">
        <w:t>Unit Mapping Information</w:t>
      </w:r>
    </w:p>
    <w:p w:rsidR="00000000" w:rsidRPr="00031ADE" w:rsidP="00AB636C">
      <w:pPr>
        <w:pStyle w:val="BodyText"/>
      </w:pPr>
      <w:r w:rsidRPr="00031ADE">
        <w:t>Supersedes and is not equivalent to PSPREG005 Assess compliance.</w:t>
      </w:r>
    </w:p>
    <w:p w:rsidR="00000000" w:rsidRPr="00031ADE" w:rsidP="00031ADE">
      <w:pPr>
        <w:pStyle w:val="Heading1"/>
      </w:pPr>
      <w:bookmarkStart w:id="8" w:name="O_1216898"/>
      <w:bookmarkEnd w:id="8"/>
      <w:r w:rsidRPr="00031ADE">
        <w:t>Links</w:t>
      </w:r>
    </w:p>
    <w:p w:rsidR="00000000" w:rsidRPr="00031ADE" w:rsidP="00AB636C">
      <w:pPr>
        <w:pStyle w:val="BodyText"/>
      </w:pPr>
      <w:r w:rsidRPr="00031A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3624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31ADE" w:rsidP="00031ADE"/>
    <w:sectPr w:rsidSect="00031A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A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ADE" w:rsidRPr="00AB636C" w:rsidP="00AB63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A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36C" w:rsidP="00031A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636C" w:rsidP="00031A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B636C" w:rsidP="00031A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A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3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1ADE" w:rsidRPr="00AB636C" w:rsidP="00AB63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A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36C" w:rsidRPr="002D2AF8" w:rsidP="00031A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PSPREG034 Assess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AB636C" w:rsidP="00031A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2D2B1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70C49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1A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1A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1A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1A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1A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1A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1A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1A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1A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1A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1A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1ADE"/>
  </w:style>
  <w:style w:type="character" w:customStyle="1" w:styleId="Heading1Char">
    <w:name w:val="Heading 1 Char"/>
    <w:basedOn w:val="DefaultParagraphFont"/>
    <w:link w:val="Heading1"/>
    <w:rsid w:val="00031A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1A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1AD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31AD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31AD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1ADE"/>
    <w:rPr>
      <w:b/>
      <w:spacing w:val="0"/>
    </w:rPr>
  </w:style>
  <w:style w:type="character" w:styleId="Emphasis">
    <w:name w:val="Emphasis"/>
    <w:basedOn w:val="DefaultParagraphFont"/>
    <w:qFormat/>
    <w:rsid w:val="00031ADE"/>
    <w:rPr>
      <w:i/>
    </w:rPr>
  </w:style>
  <w:style w:type="paragraph" w:customStyle="1" w:styleId="SuperHeading">
    <w:name w:val="SuperHeading"/>
    <w:basedOn w:val="Normal"/>
    <w:rsid w:val="00031A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1A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1A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1A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1A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1A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1A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1A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1A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1A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1A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1A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1A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1A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1A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1A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1A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1A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1A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1AD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31A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1A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1A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1A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1A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1A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1A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1A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1A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1A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1A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1A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1A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1A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1A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1A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1A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1ADE"/>
  </w:style>
  <w:style w:type="paragraph" w:styleId="TableofFigures">
    <w:name w:val="table of figures"/>
    <w:basedOn w:val="Normal"/>
    <w:next w:val="Normal"/>
    <w:semiHidden/>
    <w:rsid w:val="00031A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1AD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31ADE"/>
    <w:rPr>
      <w:rFonts w:ascii="Wingdings" w:hAnsi="Wingdings"/>
    </w:rPr>
  </w:style>
  <w:style w:type="paragraph" w:customStyle="1" w:styleId="TableHeading">
    <w:name w:val="Table Heading"/>
    <w:basedOn w:val="HeadingBase"/>
    <w:rsid w:val="00031A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1ADE"/>
    <w:rPr>
      <w:color w:val="0033CC"/>
      <w:u w:val="none"/>
    </w:rPr>
  </w:style>
  <w:style w:type="paragraph" w:customStyle="1" w:styleId="BodyTextRight">
    <w:name w:val="Body Text Right"/>
    <w:basedOn w:val="BodyText"/>
    <w:rsid w:val="00031A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1A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1A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1A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1A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1A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1ADE"/>
    <w:rPr>
      <w:sz w:val="32"/>
    </w:rPr>
  </w:style>
  <w:style w:type="paragraph" w:customStyle="1" w:styleId="HeadingProcedure">
    <w:name w:val="Heading Procedure"/>
    <w:basedOn w:val="HeadingBase"/>
    <w:next w:val="Normal"/>
    <w:rsid w:val="00031A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1ADE"/>
    <w:pPr>
      <w:spacing w:before="60" w:after="60"/>
    </w:pPr>
  </w:style>
  <w:style w:type="paragraph" w:styleId="ListContinue">
    <w:name w:val="List Continue"/>
    <w:basedOn w:val="List"/>
    <w:rsid w:val="00031ADE"/>
    <w:pPr>
      <w:ind w:firstLine="0"/>
    </w:pPr>
  </w:style>
  <w:style w:type="paragraph" w:customStyle="1" w:styleId="ListNote">
    <w:name w:val="List Note"/>
    <w:basedOn w:val="List"/>
    <w:rsid w:val="00031A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1A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1A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1ADE"/>
    <w:rPr>
      <w:rFonts w:ascii="Courier New" w:hAnsi="Courier New"/>
    </w:rPr>
  </w:style>
  <w:style w:type="paragraph" w:customStyle="1" w:styleId="NoteBullet">
    <w:name w:val="Note Bullet"/>
    <w:basedOn w:val="Note"/>
    <w:rsid w:val="00031A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1A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1A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1A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1A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31A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1A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1ADE"/>
    <w:rPr>
      <w:b/>
      <w:smallCaps/>
    </w:rPr>
  </w:style>
  <w:style w:type="paragraph" w:customStyle="1" w:styleId="TableListNumber">
    <w:name w:val="Table List Number"/>
    <w:basedOn w:val="ListNumber"/>
    <w:rsid w:val="00031A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1A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1ADE"/>
    <w:pPr>
      <w:numPr>
        <w:numId w:val="8"/>
      </w:numPr>
    </w:pPr>
  </w:style>
  <w:style w:type="paragraph" w:customStyle="1" w:styleId="ListAlpha2">
    <w:name w:val="List Alpha 2"/>
    <w:basedOn w:val="List2"/>
    <w:rsid w:val="00031ADE"/>
    <w:pPr>
      <w:numPr>
        <w:numId w:val="7"/>
      </w:numPr>
    </w:pPr>
  </w:style>
  <w:style w:type="paragraph" w:styleId="List2">
    <w:name w:val="List 2"/>
    <w:basedOn w:val="BodyText"/>
    <w:rsid w:val="00031A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1A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1A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1A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1A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1A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31ADE"/>
    <w:pPr>
      <w:numPr>
        <w:numId w:val="3"/>
      </w:numPr>
    </w:pPr>
  </w:style>
  <w:style w:type="paragraph" w:styleId="ListContinue2">
    <w:name w:val="List Continue 2"/>
    <w:basedOn w:val="List2"/>
    <w:rsid w:val="00031ADE"/>
    <w:pPr>
      <w:ind w:firstLine="0"/>
    </w:pPr>
  </w:style>
  <w:style w:type="paragraph" w:styleId="ListContinue3">
    <w:name w:val="List Continue 3"/>
    <w:basedOn w:val="List3"/>
    <w:rsid w:val="00031ADE"/>
    <w:pPr>
      <w:ind w:left="1021" w:firstLine="0"/>
    </w:pPr>
  </w:style>
  <w:style w:type="paragraph" w:styleId="ListContinue4">
    <w:name w:val="List Continue 4"/>
    <w:basedOn w:val="List4"/>
    <w:rsid w:val="00031ADE"/>
    <w:pPr>
      <w:ind w:firstLine="0"/>
    </w:pPr>
  </w:style>
  <w:style w:type="paragraph" w:styleId="ListContinue5">
    <w:name w:val="List Continue 5"/>
    <w:basedOn w:val="List5"/>
    <w:rsid w:val="00031ADE"/>
    <w:pPr>
      <w:ind w:firstLine="0"/>
    </w:pPr>
  </w:style>
  <w:style w:type="paragraph" w:styleId="ListNumber3">
    <w:name w:val="List Number 3"/>
    <w:basedOn w:val="List3"/>
    <w:rsid w:val="00031ADE"/>
    <w:pPr>
      <w:numPr>
        <w:numId w:val="4"/>
      </w:numPr>
    </w:pPr>
  </w:style>
  <w:style w:type="paragraph" w:styleId="ListNumber4">
    <w:name w:val="List Number 4"/>
    <w:basedOn w:val="List4"/>
    <w:rsid w:val="00031ADE"/>
    <w:pPr>
      <w:numPr>
        <w:numId w:val="5"/>
      </w:numPr>
    </w:pPr>
  </w:style>
  <w:style w:type="paragraph" w:styleId="ListNumber5">
    <w:name w:val="List Number 5"/>
    <w:basedOn w:val="List5"/>
    <w:rsid w:val="00031ADE"/>
    <w:pPr>
      <w:numPr>
        <w:numId w:val="6"/>
      </w:numPr>
    </w:pPr>
  </w:style>
  <w:style w:type="paragraph" w:styleId="BlockText">
    <w:name w:val="Block Text"/>
    <w:basedOn w:val="Normal"/>
    <w:rsid w:val="00031A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1A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1ADE"/>
    <w:rPr>
      <w:sz w:val="16"/>
      <w:vertAlign w:val="superscript"/>
    </w:rPr>
  </w:style>
  <w:style w:type="character" w:customStyle="1" w:styleId="Symbols">
    <w:name w:val="Symbols"/>
    <w:basedOn w:val="DefaultParagraphFont"/>
    <w:rsid w:val="00031ADE"/>
    <w:rPr>
      <w:rFonts w:ascii="Symbol" w:hAnsi="Symbol"/>
    </w:rPr>
  </w:style>
  <w:style w:type="character" w:customStyle="1" w:styleId="MenuOptions">
    <w:name w:val="Menu Options"/>
    <w:basedOn w:val="DefaultParagraphFont"/>
    <w:rsid w:val="00031A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1ADE"/>
    <w:rPr>
      <w:b/>
    </w:rPr>
  </w:style>
  <w:style w:type="character" w:customStyle="1" w:styleId="Underlined">
    <w:name w:val="Underlined"/>
    <w:basedOn w:val="DefaultParagraphFont"/>
    <w:rsid w:val="00031ADE"/>
    <w:rPr>
      <w:u w:val="single"/>
    </w:rPr>
  </w:style>
  <w:style w:type="paragraph" w:customStyle="1" w:styleId="TableBodyTextRight">
    <w:name w:val="Table Body Text Right"/>
    <w:basedOn w:val="TableBodyText"/>
    <w:rsid w:val="00031A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1ADE"/>
    <w:rPr>
      <w:sz w:val="18"/>
    </w:rPr>
  </w:style>
  <w:style w:type="paragraph" w:customStyle="1" w:styleId="BodySmallRight">
    <w:name w:val="Body Small Right"/>
    <w:basedOn w:val="BodyTextRight"/>
    <w:rsid w:val="00031ADE"/>
    <w:rPr>
      <w:sz w:val="18"/>
      <w:szCs w:val="18"/>
    </w:rPr>
  </w:style>
  <w:style w:type="paragraph" w:customStyle="1" w:styleId="MarginEdition">
    <w:name w:val="Margin Edition"/>
    <w:basedOn w:val="MarginNote"/>
    <w:rsid w:val="00031A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1ADE"/>
    <w:rPr>
      <w:sz w:val="2"/>
      <w:szCs w:val="2"/>
    </w:rPr>
  </w:style>
  <w:style w:type="character" w:customStyle="1" w:styleId="Small">
    <w:name w:val="Small"/>
    <w:basedOn w:val="DefaultParagraphFont"/>
    <w:rsid w:val="00031ADE"/>
    <w:rPr>
      <w:sz w:val="16"/>
    </w:rPr>
  </w:style>
  <w:style w:type="paragraph" w:customStyle="1" w:styleId="WideTable">
    <w:name w:val="Wide Table"/>
    <w:basedOn w:val="Normal"/>
    <w:rsid w:val="00031A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1ADE"/>
  </w:style>
  <w:style w:type="paragraph" w:styleId="Quote">
    <w:name w:val="Quote"/>
    <w:basedOn w:val="Heading1"/>
    <w:link w:val="QuoteChar"/>
    <w:qFormat/>
    <w:rsid w:val="00031A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1A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1ADE"/>
    <w:pPr>
      <w:pageBreakBefore/>
    </w:pPr>
  </w:style>
  <w:style w:type="paragraph" w:customStyle="1" w:styleId="Border">
    <w:name w:val="Border"/>
    <w:basedOn w:val="Normal"/>
    <w:qFormat/>
    <w:rsid w:val="00031A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1A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1A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1A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1A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1A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1A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1A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1A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1ADE"/>
    <w:rPr>
      <w:u w:val="single"/>
    </w:rPr>
  </w:style>
  <w:style w:type="character" w:customStyle="1" w:styleId="BoldandItalics">
    <w:name w:val="Bold and Italics"/>
    <w:qFormat/>
    <w:rsid w:val="00031ADE"/>
    <w:rPr>
      <w:b/>
      <w:i/>
      <w:u w:val="none"/>
    </w:rPr>
  </w:style>
  <w:style w:type="paragraph" w:styleId="BalloonText">
    <w:name w:val="Balloon Text"/>
    <w:basedOn w:val="Normal"/>
    <w:link w:val="BalloonTextChar"/>
    <w:rsid w:val="00031A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1A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1A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1A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1A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1A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1ADE"/>
    <w:pPr>
      <w:spacing w:before="0" w:after="0"/>
    </w:pPr>
  </w:style>
  <w:style w:type="paragraph" w:customStyle="1" w:styleId="BodyTextBold">
    <w:name w:val="Body Text Bold"/>
    <w:basedOn w:val="BodyText"/>
    <w:qFormat/>
    <w:rsid w:val="00031ADE"/>
    <w:rPr>
      <w:b/>
    </w:rPr>
  </w:style>
  <w:style w:type="character" w:styleId="Hyperlink">
    <w:name w:val="Hyperlink"/>
    <w:basedOn w:val="DefaultParagraphFont"/>
    <w:uiPriority w:val="99"/>
    <w:unhideWhenUsed/>
    <w:rsid w:val="00AB63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458</Words>
  <Characters>3038</Characters>
  <Application>Microsoft Office Word</Application>
  <DocSecurity>0</DocSecurity>
  <Lines>98</Lines>
  <Paragraphs>63</Paragraphs>
  <ScaleCrop>false</ScaleCrop>
  <Company>Author-it Software Corporation Ltd.</Company>
  <LinksUpToDate>false</LinksUpToDate>
  <CharactersWithSpaces>3433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PSPREG034 Assess compliance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2022-12-16T01:23:00Z</dcterms:created>
  <dcterms:modified xsi:type="dcterms:W3CDTF">2022-12-16T01:23:00Z</dcterms:modified>
</cp:coreProperties>
</file>