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0E75" w:rsidP="00970E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PSPREG033 Apply regulatory powers</w:t>
      </w:r>
      <w:r>
        <w:fldChar w:fldCharType="end"/>
      </w:r>
    </w:p>
    <w:p w:rsidR="00970E75" w:rsidP="00970E75">
      <w:pPr>
        <w:pStyle w:val="Version"/>
        <w:sectPr w:rsidSect="004C0C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0C60" w:rsidP="004C0C60">
      <w:pPr>
        <w:pStyle w:val="SuperHeading"/>
      </w:pPr>
      <w:r w:rsidRPr="004C0C60">
        <w:t>PSPREG033 Apply regulatory powers</w:t>
      </w:r>
    </w:p>
    <w:p w:rsidR="00000000" w:rsidRPr="004C0C60" w:rsidP="004C0C60">
      <w:pPr>
        <w:pStyle w:val="Heading1"/>
      </w:pPr>
      <w:bookmarkStart w:id="1" w:name="O_1216864"/>
      <w:bookmarkEnd w:id="1"/>
      <w:r w:rsidRPr="004C0C60">
        <w:t>Modification History</w:t>
      </w:r>
    </w:p>
    <w:p w:rsidR="00000000" w:rsidRPr="004C0C60" w:rsidP="00970E75">
      <w:pPr>
        <w:pStyle w:val="BodyText"/>
      </w:pPr>
      <w:r w:rsidRPr="004C0C60">
        <w:t xml:space="preserve">Supersedes and is not equivalent to PSPREG003 Apply regulatory powers. </w:t>
      </w:r>
    </w:p>
    <w:p w:rsidR="00000000" w:rsidRPr="004C0C60" w:rsidP="004C0C60">
      <w:pPr>
        <w:pStyle w:val="Heading1"/>
      </w:pPr>
      <w:bookmarkStart w:id="2" w:name="O_1216865"/>
      <w:bookmarkEnd w:id="2"/>
      <w:r w:rsidRPr="004C0C60">
        <w:t>Application</w:t>
      </w:r>
    </w:p>
    <w:p w:rsidR="00000000" w:rsidRPr="004C0C60" w:rsidP="00970E75">
      <w:pPr>
        <w:pStyle w:val="BodyText"/>
      </w:pPr>
      <w:r w:rsidRPr="004C0C60">
        <w:t>This unit describes the performance outcomes, skills and knowledge required when exercising regulation, monitoring, inspection and i</w:t>
      </w:r>
      <w:r w:rsidRPr="004C0C60">
        <w:t>nvestigation powers under the organisation’s enabling and other applicable legislation.</w:t>
      </w:r>
    </w:p>
    <w:p w:rsidR="00000000" w:rsidRPr="004C0C60" w:rsidP="00970E75">
      <w:pPr>
        <w:pStyle w:val="BodyText"/>
      </w:pPr>
      <w:r w:rsidRPr="004C0C60">
        <w:t>This unit applies to those working in roles conducting regulatory activities. Those undertaking this unit work independently as part of a team, performing routine tasks</w:t>
      </w:r>
      <w:r w:rsidRPr="004C0C60">
        <w:t xml:space="preserve"> involving a range of familiar and unfamiliar contexts.</w:t>
      </w:r>
    </w:p>
    <w:p w:rsidR="00000000" w:rsidRPr="004C0C60" w:rsidP="00970E75">
      <w:pPr>
        <w:pStyle w:val="BodyText"/>
      </w:pPr>
      <w:r w:rsidRPr="004C0C60">
        <w:t>The skills in this unit must be applied in accordance with Commonwealth and State or Territory legislation, Australian standards and industry codes of practice.</w:t>
      </w:r>
    </w:p>
    <w:p w:rsidR="00000000" w:rsidRPr="004C0C60" w:rsidP="00970E75">
      <w:pPr>
        <w:pStyle w:val="BodyText"/>
      </w:pPr>
      <w:r w:rsidRPr="004C0C60">
        <w:t>No occupational licensing, certificatio</w:t>
      </w:r>
      <w:r w:rsidRPr="004C0C60">
        <w:t>n or specific legislative requirements apply to this unit at the time of publication.</w:t>
      </w:r>
    </w:p>
    <w:p w:rsidR="00000000" w:rsidRPr="004C0C60" w:rsidP="004C0C60">
      <w:pPr>
        <w:pStyle w:val="Heading1"/>
      </w:pPr>
      <w:bookmarkStart w:id="3" w:name="O_1216866"/>
      <w:bookmarkEnd w:id="3"/>
      <w:r w:rsidRPr="004C0C60">
        <w:t>Pre-requisite Unit</w:t>
      </w:r>
    </w:p>
    <w:p w:rsidR="00000000" w:rsidRPr="004C0C60" w:rsidP="00970E75">
      <w:pPr>
        <w:pStyle w:val="BodyText"/>
      </w:pPr>
      <w:r w:rsidRPr="004C0C60">
        <w:t xml:space="preserve">Nil </w:t>
      </w:r>
    </w:p>
    <w:p w:rsidR="00000000" w:rsidRPr="004C0C60" w:rsidP="004C0C60">
      <w:pPr>
        <w:pStyle w:val="Heading1"/>
      </w:pPr>
      <w:bookmarkStart w:id="4" w:name="O_1216867"/>
      <w:bookmarkEnd w:id="4"/>
      <w:r w:rsidRPr="004C0C60">
        <w:t>Competency Field</w:t>
      </w:r>
    </w:p>
    <w:p w:rsidR="00000000" w:rsidRPr="004C0C60" w:rsidP="00970E75">
      <w:pPr>
        <w:pStyle w:val="BodyText"/>
      </w:pPr>
      <w:r w:rsidRPr="004C0C60">
        <w:t>Regulatory</w:t>
      </w:r>
    </w:p>
    <w:p w:rsidR="00000000" w:rsidRPr="004C0C60" w:rsidP="004C0C60">
      <w:pPr>
        <w:pStyle w:val="Heading1"/>
      </w:pPr>
      <w:bookmarkStart w:id="5" w:name="O_1216869"/>
      <w:bookmarkEnd w:id="5"/>
      <w:r w:rsidRPr="004C0C6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C0C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C60" w:rsidP="004C0C60">
            <w:pPr>
              <w:pStyle w:val="BodyText"/>
            </w:pPr>
            <w:r w:rsidRPr="004C0C6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60">
            <w:pPr>
              <w:pStyle w:val="BodyText"/>
              <w:rPr>
                <w:lang w:val="en-NZ"/>
              </w:rPr>
            </w:pPr>
            <w:r w:rsidRPr="004C0C60">
              <w:rPr>
                <w:rStyle w:val="SpecialBold"/>
              </w:rPr>
              <w:t>PERFORMANCE</w:t>
            </w:r>
            <w:r w:rsidRPr="004C0C60">
              <w:t xml:space="preserve"> </w:t>
            </w:r>
            <w:r w:rsidRPr="004C0C60">
              <w:rPr>
                <w:rStyle w:val="SpecialBold"/>
              </w:rPr>
              <w:t>CRITER</w:t>
            </w:r>
            <w:r w:rsidRPr="004C0C60">
              <w:rPr>
                <w:rStyle w:val="SpecialBold"/>
              </w:rPr>
              <w:t>IA</w:t>
            </w:r>
          </w:p>
        </w:tc>
      </w:tr>
      <w:tr w:rsidTr="004C0C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C60" w:rsidP="004C0C60">
            <w:pPr>
              <w:pStyle w:val="BodyText"/>
            </w:pPr>
            <w:r w:rsidRPr="004C0C6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60">
            <w:pPr>
              <w:pStyle w:val="BodyText"/>
              <w:rPr>
                <w:lang w:val="en-NZ"/>
              </w:rPr>
            </w:pPr>
            <w:r w:rsidRPr="004C0C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0C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60">
            <w:pPr>
              <w:pStyle w:val="List"/>
              <w:rPr>
                <w:lang w:val="en-NZ"/>
              </w:rPr>
            </w:pPr>
            <w:r w:rsidRPr="004C0C60">
              <w:t>1.  Determine regulatory powers.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C60" w:rsidP="004C0C60">
            <w:pPr>
              <w:pStyle w:val="List"/>
            </w:pPr>
            <w:r w:rsidRPr="004C0C60">
              <w:t>1.1. Access and use current information relating to enabling legislation and regulations.</w:t>
            </w:r>
          </w:p>
          <w:p w:rsidR="00000000" w:rsidRPr="004C0C60" w:rsidP="004C0C60">
            <w:pPr>
              <w:pStyle w:val="List"/>
            </w:pPr>
            <w:r w:rsidRPr="004C0C60">
              <w:t>1.2. Confirm powers provided under legislation and jurisdictional parameters of those powers.</w:t>
            </w:r>
          </w:p>
          <w:p w:rsidR="00000000" w:rsidRPr="004C0C60" w:rsidP="004C0C60">
            <w:pPr>
              <w:pStyle w:val="List"/>
            </w:pPr>
            <w:r w:rsidRPr="004C0C60">
              <w:t>1.3. Identify and confirm compliance requirements of legislation, relate</w:t>
            </w:r>
            <w:r w:rsidRPr="004C0C60">
              <w:t>d regulations, standards, codes of practice and policy.</w:t>
            </w:r>
          </w:p>
          <w:p w:rsidR="00000000" w:rsidP="004C0C60">
            <w:pPr>
              <w:pStyle w:val="List"/>
              <w:rPr>
                <w:lang w:val="en-NZ"/>
              </w:rPr>
            </w:pPr>
            <w:r w:rsidRPr="004C0C60">
              <w:t>1.4. Identify and confirm acts and omissions that comprise non-compliance or offences under the legislation.</w:t>
            </w:r>
          </w:p>
        </w:tc>
      </w:tr>
      <w:tr w:rsidTr="004C0C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60">
            <w:pPr>
              <w:pStyle w:val="List"/>
              <w:rPr>
                <w:lang w:val="en-NZ"/>
              </w:rPr>
            </w:pPr>
            <w:r w:rsidRPr="004C0C60">
              <w:t>2.  Apply enabling legislation.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C60" w:rsidP="004C0C60">
            <w:pPr>
              <w:pStyle w:val="List"/>
            </w:pPr>
            <w:r w:rsidRPr="004C0C60">
              <w:t>2.1. Identify and analyse circumstances where regulatory p</w:t>
            </w:r>
            <w:r w:rsidRPr="004C0C60">
              <w:t>owers will be exercised to determine response or measures to apply.</w:t>
            </w:r>
          </w:p>
          <w:p w:rsidR="00000000" w:rsidRPr="004C0C60" w:rsidP="004C0C60">
            <w:pPr>
              <w:pStyle w:val="List"/>
            </w:pPr>
            <w:r w:rsidRPr="004C0C60">
              <w:t>2.2. Identify circumstances requiring the exercise of regulatory powers outside own limits and refer to others in accordance with organisation policies and procedures.</w:t>
            </w:r>
          </w:p>
          <w:p w:rsidR="00000000" w:rsidRPr="004C0C60" w:rsidP="004C0C60">
            <w:pPr>
              <w:pStyle w:val="List"/>
            </w:pPr>
            <w:r w:rsidRPr="004C0C60">
              <w:t xml:space="preserve">2.3. Identify risks </w:t>
            </w:r>
            <w:r w:rsidRPr="004C0C60">
              <w:t>associated with exercise of regulatory powers and strategies to manage risks.</w:t>
            </w:r>
          </w:p>
          <w:p w:rsidR="00000000" w:rsidP="004C0C60">
            <w:pPr>
              <w:pStyle w:val="List"/>
              <w:rPr>
                <w:lang w:val="en-NZ"/>
              </w:rPr>
            </w:pPr>
            <w:r w:rsidRPr="004C0C60">
              <w:t>2.4. Apply enabling legislation consistent with defined jurisdictional parameters.</w:t>
            </w:r>
          </w:p>
        </w:tc>
      </w:tr>
      <w:tr w:rsidTr="004C0C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6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60">
            <w:pPr>
              <w:pStyle w:val="List"/>
              <w:rPr>
                <w:lang w:val="en-NZ"/>
              </w:rPr>
            </w:pPr>
            <w:r w:rsidRPr="004C0C60">
              <w:t>3.  Identify other applicable legislation and standards.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C60" w:rsidP="004C0C60">
            <w:pPr>
              <w:pStyle w:val="List"/>
            </w:pPr>
            <w:r w:rsidRPr="004C0C60">
              <w:t>3.1. Identify other legislation and standards which impact on regulatory powers and confirm their application and requirements.</w:t>
            </w:r>
          </w:p>
          <w:p w:rsidR="00000000" w:rsidP="004C0C60">
            <w:pPr>
              <w:pStyle w:val="List"/>
              <w:rPr>
                <w:lang w:val="en-NZ"/>
              </w:rPr>
            </w:pPr>
            <w:r w:rsidRPr="004C0C60">
              <w:t>3.2. Resolve or refer apparently conflicting legislative directions.</w:t>
            </w:r>
          </w:p>
        </w:tc>
      </w:tr>
      <w:tr w:rsidTr="004C0C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60">
            <w:pPr>
              <w:pStyle w:val="List"/>
              <w:rPr>
                <w:lang w:val="en-NZ"/>
              </w:rPr>
            </w:pPr>
            <w:r w:rsidRPr="004C0C60">
              <w:t>4.  Work collaboratively with other organisations.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C60" w:rsidP="004C0C60">
            <w:pPr>
              <w:pStyle w:val="List"/>
            </w:pPr>
            <w:r w:rsidRPr="004C0C60">
              <w:t>4.1. Id</w:t>
            </w:r>
            <w:r w:rsidRPr="004C0C60">
              <w:t>entify organisations that have jurisdictions which overlap and establish and maintain relationships.</w:t>
            </w:r>
          </w:p>
          <w:p w:rsidR="00000000" w:rsidRPr="004C0C60" w:rsidP="004C0C60">
            <w:pPr>
              <w:pStyle w:val="List"/>
            </w:pPr>
            <w:r w:rsidRPr="004C0C60">
              <w:t>4.2. Identify organisations available to provide assistance and advice and establish relationships for mutual benefit.</w:t>
            </w:r>
          </w:p>
          <w:p w:rsidR="00000000" w:rsidRPr="004C0C60" w:rsidP="004C0C60">
            <w:pPr>
              <w:pStyle w:val="List"/>
            </w:pPr>
            <w:r w:rsidRPr="004C0C60">
              <w:t>4.3. Follow organisational protocols</w:t>
            </w:r>
            <w:r w:rsidRPr="004C0C60">
              <w:t xml:space="preserve"> and procedures when working with other organisations.</w:t>
            </w:r>
          </w:p>
          <w:p w:rsidR="00000000" w:rsidRPr="004C0C60" w:rsidP="004C0C60">
            <w:pPr>
              <w:pStyle w:val="List"/>
            </w:pPr>
            <w:r w:rsidRPr="004C0C60">
              <w:t>4.4. Refer compliance matters to other organisations for action when required.</w:t>
            </w:r>
          </w:p>
          <w:p w:rsidR="00000000" w:rsidRPr="004C0C60" w:rsidP="004C0C60">
            <w:pPr>
              <w:pStyle w:val="List"/>
            </w:pPr>
            <w:r w:rsidRPr="004C0C60">
              <w:t>4.5. Follow lead agency protocols and lines of authority during operations involving more than one organisation.</w:t>
            </w:r>
          </w:p>
        </w:tc>
      </w:tr>
    </w:tbl>
    <w:p w:rsidR="00000000" w:rsidRPr="004C0C60" w:rsidP="004C0C60">
      <w:pPr>
        <w:pStyle w:val="BodyText"/>
      </w:pPr>
    </w:p>
    <w:p w:rsidR="00000000" w:rsidRPr="004C0C60" w:rsidP="004C0C60">
      <w:pPr>
        <w:pStyle w:val="AllowPageBreak"/>
      </w:pPr>
    </w:p>
    <w:p w:rsidR="00000000" w:rsidRPr="004C0C60" w:rsidP="004C0C60">
      <w:pPr>
        <w:pStyle w:val="Heading1"/>
      </w:pPr>
      <w:bookmarkStart w:id="6" w:name="O_1216870"/>
      <w:bookmarkEnd w:id="6"/>
      <w:r w:rsidRPr="004C0C6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C0C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60">
            <w:pPr>
              <w:pStyle w:val="BodyText"/>
              <w:rPr>
                <w:lang w:val="en-NZ"/>
              </w:rPr>
            </w:pPr>
            <w:r w:rsidRPr="004C0C60">
              <w:t>Foundation skills essential to performance in this unit, but not explicit in the performance criteria are listed here, along with a brief context statement.</w:t>
            </w:r>
          </w:p>
        </w:tc>
      </w:tr>
      <w:tr w:rsidTr="004C0C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C60" w:rsidP="004C0C60">
            <w:pPr>
              <w:pStyle w:val="BodyText"/>
            </w:pPr>
            <w:r w:rsidRPr="004C0C6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60">
            <w:pPr>
              <w:pStyle w:val="BodyText"/>
              <w:rPr>
                <w:lang w:val="en-NZ"/>
              </w:rPr>
            </w:pPr>
            <w:r w:rsidRPr="004C0C60">
              <w:rPr>
                <w:rStyle w:val="SpecialBold"/>
              </w:rPr>
              <w:t>DESCRIPTION</w:t>
            </w:r>
          </w:p>
        </w:tc>
      </w:tr>
      <w:tr w:rsidTr="004C0C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7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60">
            <w:pPr>
              <w:pStyle w:val="BodyText"/>
              <w:rPr>
                <w:lang w:val="en-NZ"/>
              </w:rPr>
            </w:pPr>
            <w:r w:rsidRPr="004C0C60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C60" w:rsidP="004C0C60">
            <w:pPr>
              <w:pStyle w:val="ListBullet"/>
            </w:pPr>
            <w:r w:rsidRPr="004C0C60">
              <w:t>identify requirements  in legislation, guidelines and policy documents</w:t>
            </w:r>
          </w:p>
          <w:p w:rsidR="00000000" w:rsidP="004C0C60">
            <w:pPr>
              <w:pStyle w:val="ListBullet"/>
              <w:rPr>
                <w:lang w:val="en-NZ"/>
              </w:rPr>
            </w:pPr>
            <w:r w:rsidRPr="004C0C60">
              <w:t>interpret complex written materials and apply them to work practices.</w:t>
            </w:r>
          </w:p>
        </w:tc>
      </w:tr>
      <w:tr w:rsidTr="004C0C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7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60">
            <w:pPr>
              <w:pStyle w:val="BodyText"/>
              <w:rPr>
                <w:lang w:val="en-NZ"/>
              </w:rPr>
            </w:pPr>
            <w:r w:rsidRPr="004C0C60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60">
            <w:pPr>
              <w:pStyle w:val="ListBullet"/>
              <w:rPr>
                <w:lang w:val="en-NZ"/>
              </w:rPr>
            </w:pPr>
            <w:r w:rsidRPr="004C0C60">
              <w:t>engage in discussion involving exchanges of often complex information.</w:t>
            </w:r>
          </w:p>
        </w:tc>
      </w:tr>
      <w:tr w:rsidTr="004C0C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C60">
            <w:pPr>
              <w:pStyle w:val="BodyText"/>
              <w:rPr>
                <w:lang w:val="en-NZ"/>
              </w:rPr>
            </w:pPr>
            <w:r w:rsidRPr="004C0C60">
              <w:t>Writing ski</w:t>
            </w:r>
            <w:r w:rsidRPr="004C0C60">
              <w:t>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C60" w:rsidP="004C0C60">
            <w:pPr>
              <w:pStyle w:val="ListBullet"/>
            </w:pPr>
            <w:r w:rsidRPr="004C0C60">
              <w:t>complete research and analysis reports with routine information related to the work role.</w:t>
            </w:r>
          </w:p>
        </w:tc>
      </w:tr>
    </w:tbl>
    <w:p w:rsidR="00000000" w:rsidRPr="004C0C60" w:rsidP="004C0C60">
      <w:pPr>
        <w:pStyle w:val="BodyText"/>
      </w:pPr>
    </w:p>
    <w:p w:rsidR="00000000" w:rsidRPr="004C0C60" w:rsidP="004C0C60">
      <w:pPr>
        <w:pStyle w:val="AllowPageBreak"/>
      </w:pPr>
    </w:p>
    <w:p w:rsidR="00000000" w:rsidRPr="004C0C60" w:rsidP="004C0C60">
      <w:pPr>
        <w:pStyle w:val="Heading1"/>
      </w:pPr>
      <w:bookmarkStart w:id="7" w:name="O_1216872"/>
      <w:bookmarkEnd w:id="7"/>
      <w:r w:rsidRPr="004C0C60">
        <w:t>Unit Mapping Information</w:t>
      </w:r>
    </w:p>
    <w:p w:rsidR="00000000" w:rsidRPr="004C0C60" w:rsidP="00970E75">
      <w:pPr>
        <w:pStyle w:val="BodyText"/>
      </w:pPr>
      <w:r w:rsidRPr="004C0C60">
        <w:t xml:space="preserve">Supersedes and is not equivalent to PSPREG003 Apply regulatory powers. </w:t>
      </w:r>
    </w:p>
    <w:p w:rsidR="00000000" w:rsidRPr="004C0C60" w:rsidP="004C0C60">
      <w:pPr>
        <w:pStyle w:val="Heading1"/>
      </w:pPr>
      <w:bookmarkStart w:id="8" w:name="O_1216879"/>
      <w:bookmarkEnd w:id="8"/>
      <w:r w:rsidRPr="004C0C60">
        <w:t>Links</w:t>
      </w:r>
    </w:p>
    <w:p w:rsidR="00000000" w:rsidRPr="004C0C60" w:rsidP="00970E75">
      <w:pPr>
        <w:pStyle w:val="BodyText"/>
      </w:pPr>
      <w:r w:rsidRPr="004C0C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40B1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C0C60" w:rsidP="00970E75">
      <w:pPr>
        <w:pStyle w:val="BodyText"/>
        <w:sectPr w:rsidSect="004C0C6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C0C60" w:rsidP="004C0C60">
      <w:pPr>
        <w:pStyle w:val="SuperHeading"/>
      </w:pPr>
      <w:r w:rsidRPr="004C0C60">
        <w:t>Assessment Requirements for PSPREG033 Apply regulatory powers</w:t>
      </w:r>
    </w:p>
    <w:p w:rsidR="00000000" w:rsidRPr="004C0C60" w:rsidP="004C0C60">
      <w:pPr>
        <w:pStyle w:val="Heading1"/>
      </w:pPr>
      <w:bookmarkStart w:id="9" w:name="O_1216874"/>
      <w:bookmarkEnd w:id="9"/>
      <w:r w:rsidRPr="004C0C60">
        <w:t>Modification History</w:t>
      </w:r>
    </w:p>
    <w:p w:rsidR="00000000" w:rsidRPr="004C0C60" w:rsidP="00970E75">
      <w:pPr>
        <w:pStyle w:val="BodyText"/>
      </w:pPr>
      <w:r w:rsidRPr="004C0C60">
        <w:t xml:space="preserve">Supersedes and is not equivalent to PSPREG003 Apply regulatory powers. </w:t>
      </w:r>
    </w:p>
    <w:p w:rsidR="00000000" w:rsidRPr="004C0C60" w:rsidP="004C0C60">
      <w:pPr>
        <w:pStyle w:val="Heading1"/>
      </w:pPr>
      <w:bookmarkStart w:id="10" w:name="O_1216875"/>
      <w:bookmarkEnd w:id="10"/>
      <w:r w:rsidRPr="004C0C60">
        <w:t>Performance Evidence</w:t>
      </w:r>
    </w:p>
    <w:p w:rsidR="00000000" w:rsidRPr="004C0C60" w:rsidP="00970E75">
      <w:pPr>
        <w:pStyle w:val="BodyText"/>
      </w:pPr>
      <w:r w:rsidRPr="004C0C60">
        <w:t>Evidence of the ability to complete tasks outlined in elements and performance criteria of this unit in the context of the job role, and:</w:t>
      </w:r>
    </w:p>
    <w:p w:rsidR="00000000" w:rsidRPr="004C0C60" w:rsidP="004C0C60">
      <w:pPr>
        <w:pStyle w:val="ListBullet"/>
      </w:pPr>
      <w:r w:rsidRPr="004C0C60">
        <w:t>identify regulatory responses and measures to address three different circumstances and justify each response against</w:t>
      </w:r>
      <w:r w:rsidRPr="004C0C60">
        <w:t xml:space="preserve"> legislation, regulations, guidelines and policies.</w:t>
      </w:r>
    </w:p>
    <w:p w:rsidR="00000000" w:rsidRPr="004C0C60" w:rsidP="004C0C60">
      <w:pPr>
        <w:pStyle w:val="AllowPageBreak"/>
      </w:pPr>
    </w:p>
    <w:p w:rsidR="00000000" w:rsidRPr="004C0C60" w:rsidP="004C0C60">
      <w:pPr>
        <w:pStyle w:val="Heading1"/>
      </w:pPr>
      <w:bookmarkStart w:id="11" w:name="O_1216876"/>
      <w:bookmarkEnd w:id="11"/>
      <w:r w:rsidRPr="004C0C60">
        <w:t>Knowledge Evidence</w:t>
      </w:r>
    </w:p>
    <w:p w:rsidR="00000000" w:rsidRPr="004C0C60" w:rsidP="00970E75">
      <w:pPr>
        <w:pStyle w:val="BodyText"/>
      </w:pPr>
      <w:r w:rsidRPr="004C0C60">
        <w:t>Demonstrated knowledge required to complete the tasks outlined in elements and performance criteria of this unit:</w:t>
      </w:r>
    </w:p>
    <w:p w:rsidR="00000000" w:rsidRPr="004C0C60" w:rsidP="004C0C60">
      <w:pPr>
        <w:pStyle w:val="ListBullet"/>
      </w:pPr>
      <w:r w:rsidRPr="004C0C60">
        <w:t>legislation and jurisdictional laws relating to the</w:t>
      </w:r>
      <w:r w:rsidRPr="004C0C60">
        <w:t xml:space="preserve"> exercise of regulatory powers including the following aspects:</w:t>
      </w:r>
    </w:p>
    <w:p w:rsidR="00000000" w:rsidRPr="004C0C60" w:rsidP="004C0C60">
      <w:pPr>
        <w:pStyle w:val="ListBullet2"/>
      </w:pPr>
      <w:r w:rsidRPr="004C0C60">
        <w:t>full range of regulatory powers and the limits to those powers</w:t>
      </w:r>
    </w:p>
    <w:p w:rsidR="00000000" w:rsidRPr="004C0C60" w:rsidP="004C0C60">
      <w:pPr>
        <w:pStyle w:val="ListBullet2"/>
      </w:pPr>
      <w:r w:rsidRPr="004C0C60">
        <w:t>enabling legislation</w:t>
      </w:r>
    </w:p>
    <w:p w:rsidR="00000000" w:rsidRPr="004C0C60" w:rsidP="004C0C60">
      <w:pPr>
        <w:pStyle w:val="ListBullet2"/>
      </w:pPr>
      <w:r w:rsidRPr="004C0C60">
        <w:t>offences under the legislation</w:t>
      </w:r>
    </w:p>
    <w:p w:rsidR="00000000" w:rsidRPr="004C0C60" w:rsidP="004C0C60">
      <w:pPr>
        <w:pStyle w:val="ListBullet2"/>
      </w:pPr>
      <w:r w:rsidRPr="004C0C60">
        <w:t>aspects of criminal law, administrative law, industrial law, contract law applicable to regulatory compliance</w:t>
      </w:r>
    </w:p>
    <w:p w:rsidR="00000000" w:rsidRPr="004C0C60" w:rsidP="004C0C60">
      <w:pPr>
        <w:pStyle w:val="ListBullet2"/>
      </w:pPr>
      <w:r w:rsidRPr="004C0C60">
        <w:t>statutory time limits</w:t>
      </w:r>
    </w:p>
    <w:p w:rsidR="00000000" w:rsidRPr="004C0C60" w:rsidP="004C0C60">
      <w:pPr>
        <w:pStyle w:val="ListBullet2"/>
      </w:pPr>
      <w:r w:rsidRPr="004C0C60">
        <w:t>terminology used in legislation and procedures</w:t>
      </w:r>
    </w:p>
    <w:p w:rsidR="00000000" w:rsidRPr="004C0C60" w:rsidP="004C0C60">
      <w:pPr>
        <w:pStyle w:val="ListBullet"/>
      </w:pPr>
      <w:r w:rsidRPr="004C0C60">
        <w:t>organisational policies, procedures and guidelines including referral and re</w:t>
      </w:r>
      <w:r w:rsidRPr="004C0C60">
        <w:t>porting processes</w:t>
      </w:r>
    </w:p>
    <w:p w:rsidR="00000000" w:rsidRPr="004C0C60" w:rsidP="004C0C60">
      <w:pPr>
        <w:pStyle w:val="ListBullet"/>
      </w:pPr>
      <w:r w:rsidRPr="004C0C60">
        <w:t>principles of evidence-based decision-making including:</w:t>
      </w:r>
    </w:p>
    <w:p w:rsidR="00000000" w:rsidRPr="004C0C60" w:rsidP="004C0C60">
      <w:pPr>
        <w:pStyle w:val="ListBullet2"/>
      </w:pPr>
      <w:r w:rsidRPr="004C0C60">
        <w:t xml:space="preserve">the nature of evidence </w:t>
      </w:r>
    </w:p>
    <w:p w:rsidR="00000000" w:rsidRPr="004C0C60" w:rsidP="004C0C60">
      <w:pPr>
        <w:pStyle w:val="ListBullet2"/>
      </w:pPr>
      <w:r w:rsidRPr="004C0C60">
        <w:t>methods of collection.</w:t>
      </w:r>
    </w:p>
    <w:p w:rsidR="00000000" w:rsidRPr="004C0C60" w:rsidP="004C0C60">
      <w:pPr>
        <w:pStyle w:val="AllowPageBreak"/>
      </w:pPr>
    </w:p>
    <w:p w:rsidR="00000000" w:rsidRPr="004C0C60" w:rsidP="004C0C60">
      <w:pPr>
        <w:pStyle w:val="Heading1"/>
      </w:pPr>
      <w:bookmarkStart w:id="12" w:name="O_1216877"/>
      <w:bookmarkEnd w:id="12"/>
      <w:r w:rsidRPr="004C0C60">
        <w:t>Assessment Conditions</w:t>
      </w:r>
    </w:p>
    <w:p w:rsidR="00000000" w:rsidRPr="004C0C60" w:rsidP="00970E75">
      <w:pPr>
        <w:pStyle w:val="BodyText"/>
      </w:pPr>
      <w:r w:rsidRPr="004C0C60">
        <w:t>Skills must be demonstrated in the workplace or in a simulated environment that reflects work</w:t>
      </w:r>
      <w:r w:rsidRPr="004C0C60">
        <w:t>place conditions.</w:t>
      </w:r>
    </w:p>
    <w:p w:rsidR="00000000" w:rsidRPr="004C0C60" w:rsidP="00970E75">
      <w:pPr>
        <w:pStyle w:val="BodyText"/>
      </w:pPr>
      <w:r w:rsidRPr="004C0C60">
        <w:t>Assessment must ensure access to:</w:t>
      </w:r>
    </w:p>
    <w:p w:rsidR="00000000" w:rsidRPr="004C0C60" w:rsidP="004C0C60">
      <w:pPr>
        <w:pStyle w:val="ListBullet"/>
      </w:pPr>
      <w:r w:rsidRPr="004C0C60">
        <w:t>legislation, jurisdictional laws and regulations relating to regulatory powers</w:t>
      </w:r>
    </w:p>
    <w:p w:rsidR="00000000" w:rsidRPr="004C0C60" w:rsidP="004C0C60">
      <w:pPr>
        <w:pStyle w:val="ListBullet"/>
      </w:pPr>
      <w:r w:rsidRPr="004C0C60">
        <w:t>organisational, policies, procedures and guidelines</w:t>
      </w:r>
    </w:p>
    <w:p w:rsidR="00000000" w:rsidRPr="004C0C60" w:rsidP="004C0C60">
      <w:pPr>
        <w:pStyle w:val="ListBullet"/>
      </w:pPr>
      <w:r w:rsidRPr="004C0C60">
        <w:t>resources and equipment of the working environment</w:t>
      </w:r>
    </w:p>
    <w:p w:rsidR="00000000" w:rsidRPr="004C0C60" w:rsidP="004C0C60">
      <w:pPr>
        <w:pStyle w:val="ListBullet"/>
      </w:pPr>
      <w:r w:rsidRPr="004C0C60">
        <w:t>assessors must satisfy the Standards for Registered Training Organisations’ requirements for assessors.</w:t>
      </w:r>
    </w:p>
    <w:p w:rsidR="00000000" w:rsidRPr="004C0C60" w:rsidP="004C0C60">
      <w:pPr>
        <w:pStyle w:val="AllowPageBreak"/>
      </w:pPr>
    </w:p>
    <w:p w:rsidR="00000000" w:rsidRPr="004C0C60" w:rsidP="004C0C60">
      <w:pPr>
        <w:pStyle w:val="Heading1"/>
      </w:pPr>
      <w:bookmarkStart w:id="13" w:name="O_1216880"/>
      <w:bookmarkEnd w:id="13"/>
      <w:r w:rsidRPr="004C0C60">
        <w:t>Links</w:t>
      </w:r>
    </w:p>
    <w:p w:rsidR="00000000" w:rsidRPr="004C0C60" w:rsidP="00970E75">
      <w:pPr>
        <w:pStyle w:val="BodyText"/>
      </w:pPr>
      <w:r w:rsidRPr="004C0C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40B1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C0C60" w:rsidP="004C0C60"/>
    <w:sectPr w:rsidSect="004C0C6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C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C60" w:rsidRPr="00970E75" w:rsidP="00970E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C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E75" w:rsidP="004C0C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0E75" w:rsidP="004C0C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70E75" w:rsidP="004C0C6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C60" w:rsidP="004C0C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70E75">
      <w:t>Approved</w:t>
    </w:r>
    <w:r w:rsidR="00970E7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70E7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70E75">
      <w:rPr>
        <w:noProof/>
      </w:rPr>
      <w:t>4</w:t>
    </w:r>
    <w:r>
      <w:rPr>
        <w:noProof/>
      </w:rPr>
      <w:fldChar w:fldCharType="end"/>
    </w:r>
  </w:p>
  <w:p w:rsidR="004C0C60" w:rsidP="004C0C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70E7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70E75">
      <w:t>Public Skills Australia</w:t>
    </w:r>
    <w:r w:rsidR="00970E75">
      <w:fldChar w:fldCharType="end"/>
    </w:r>
  </w:p>
  <w:p w:rsidR="004C0C60" w:rsidP="004C0C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C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E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0C60" w:rsidRPr="00970E75" w:rsidP="00970E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C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E75" w:rsidRPr="002D2AF8" w:rsidP="004C0C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PSPREG033 Apply regulatory powers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70E75" w:rsidP="004C0C6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C60" w:rsidRPr="002D2AF8" w:rsidP="004C0C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70E75">
      <w:t>PSPREG033 Apply regulatory powers</w:t>
    </w:r>
    <w:r w:rsidR="00970E7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70E75">
      <w:rPr>
        <w:noProof/>
      </w:rPr>
      <w:t>2 March 2025</w:t>
    </w:r>
    <w:r>
      <w:fldChar w:fldCharType="end"/>
    </w:r>
  </w:p>
  <w:p w:rsidR="004C0C60" w:rsidP="004C0C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322D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62C9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C457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0C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0C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0C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0C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0C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0C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0C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0C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0C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0C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0C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0C60"/>
  </w:style>
  <w:style w:type="character" w:customStyle="1" w:styleId="Heading1Char">
    <w:name w:val="Heading 1 Char"/>
    <w:basedOn w:val="DefaultParagraphFont"/>
    <w:link w:val="Heading1"/>
    <w:rsid w:val="004C0C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0C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0C6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C0C6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0C6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0C60"/>
    <w:rPr>
      <w:b/>
      <w:spacing w:val="0"/>
    </w:rPr>
  </w:style>
  <w:style w:type="paragraph" w:styleId="ListBullet2">
    <w:name w:val="List Bullet 2"/>
    <w:basedOn w:val="List2"/>
    <w:rsid w:val="004C0C6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C0C60"/>
    <w:rPr>
      <w:i/>
    </w:rPr>
  </w:style>
  <w:style w:type="paragraph" w:customStyle="1" w:styleId="SuperHeading">
    <w:name w:val="SuperHeading"/>
    <w:basedOn w:val="Normal"/>
    <w:rsid w:val="004C0C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0C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0C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0C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0C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0C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0C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0C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0C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0C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0C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0C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0C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0C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0C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0C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0C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0C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0C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0C6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C0C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0C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0C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0C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0C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0C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0C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0C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0C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0C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0C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0C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0C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0C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0C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0C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0C60"/>
  </w:style>
  <w:style w:type="paragraph" w:styleId="TableofFigures">
    <w:name w:val="table of figures"/>
    <w:basedOn w:val="Normal"/>
    <w:next w:val="Normal"/>
    <w:semiHidden/>
    <w:rsid w:val="004C0C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0C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C0C60"/>
    <w:rPr>
      <w:rFonts w:ascii="Wingdings" w:hAnsi="Wingdings"/>
    </w:rPr>
  </w:style>
  <w:style w:type="paragraph" w:customStyle="1" w:styleId="TableHeading">
    <w:name w:val="Table Heading"/>
    <w:basedOn w:val="HeadingBase"/>
    <w:rsid w:val="004C0C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0C60"/>
    <w:rPr>
      <w:color w:val="0033CC"/>
      <w:u w:val="none"/>
    </w:rPr>
  </w:style>
  <w:style w:type="paragraph" w:customStyle="1" w:styleId="BodyTextRight">
    <w:name w:val="Body Text Right"/>
    <w:basedOn w:val="BodyText"/>
    <w:rsid w:val="004C0C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0C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0C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0C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0C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0C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0C60"/>
    <w:rPr>
      <w:sz w:val="32"/>
    </w:rPr>
  </w:style>
  <w:style w:type="paragraph" w:customStyle="1" w:styleId="HeadingProcedure">
    <w:name w:val="Heading Procedure"/>
    <w:basedOn w:val="HeadingBase"/>
    <w:next w:val="Normal"/>
    <w:rsid w:val="004C0C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0C60"/>
    <w:pPr>
      <w:spacing w:before="60" w:after="60"/>
    </w:pPr>
  </w:style>
  <w:style w:type="paragraph" w:styleId="ListContinue">
    <w:name w:val="List Continue"/>
    <w:basedOn w:val="List"/>
    <w:rsid w:val="004C0C60"/>
    <w:pPr>
      <w:ind w:firstLine="0"/>
    </w:pPr>
  </w:style>
  <w:style w:type="paragraph" w:customStyle="1" w:styleId="ListNote">
    <w:name w:val="List Note"/>
    <w:basedOn w:val="List"/>
    <w:rsid w:val="004C0C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0C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0C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0C60"/>
    <w:rPr>
      <w:rFonts w:ascii="Courier New" w:hAnsi="Courier New"/>
    </w:rPr>
  </w:style>
  <w:style w:type="paragraph" w:customStyle="1" w:styleId="NoteBullet">
    <w:name w:val="Note Bullet"/>
    <w:basedOn w:val="Note"/>
    <w:rsid w:val="004C0C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0C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0C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0C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0C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0C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0C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0C60"/>
    <w:rPr>
      <w:b/>
      <w:smallCaps/>
    </w:rPr>
  </w:style>
  <w:style w:type="paragraph" w:customStyle="1" w:styleId="TableListNumber">
    <w:name w:val="Table List Number"/>
    <w:basedOn w:val="ListNumber"/>
    <w:rsid w:val="004C0C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0C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0C60"/>
    <w:pPr>
      <w:numPr>
        <w:numId w:val="9"/>
      </w:numPr>
    </w:pPr>
  </w:style>
  <w:style w:type="paragraph" w:customStyle="1" w:styleId="ListAlpha2">
    <w:name w:val="List Alpha 2"/>
    <w:basedOn w:val="List2"/>
    <w:rsid w:val="004C0C60"/>
    <w:pPr>
      <w:numPr>
        <w:numId w:val="8"/>
      </w:numPr>
    </w:pPr>
  </w:style>
  <w:style w:type="paragraph" w:styleId="List2">
    <w:name w:val="List 2"/>
    <w:basedOn w:val="BodyText"/>
    <w:rsid w:val="004C0C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0C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0C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0C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0C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0C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C0C60"/>
    <w:pPr>
      <w:numPr>
        <w:numId w:val="4"/>
      </w:numPr>
    </w:pPr>
  </w:style>
  <w:style w:type="paragraph" w:styleId="ListContinue2">
    <w:name w:val="List Continue 2"/>
    <w:basedOn w:val="List2"/>
    <w:rsid w:val="004C0C60"/>
    <w:pPr>
      <w:ind w:firstLine="0"/>
    </w:pPr>
  </w:style>
  <w:style w:type="paragraph" w:styleId="ListContinue3">
    <w:name w:val="List Continue 3"/>
    <w:basedOn w:val="List3"/>
    <w:rsid w:val="004C0C60"/>
    <w:pPr>
      <w:ind w:left="1021" w:firstLine="0"/>
    </w:pPr>
  </w:style>
  <w:style w:type="paragraph" w:styleId="ListContinue4">
    <w:name w:val="List Continue 4"/>
    <w:basedOn w:val="List4"/>
    <w:rsid w:val="004C0C60"/>
    <w:pPr>
      <w:ind w:firstLine="0"/>
    </w:pPr>
  </w:style>
  <w:style w:type="paragraph" w:styleId="ListContinue5">
    <w:name w:val="List Continue 5"/>
    <w:basedOn w:val="List5"/>
    <w:rsid w:val="004C0C60"/>
    <w:pPr>
      <w:ind w:firstLine="0"/>
    </w:pPr>
  </w:style>
  <w:style w:type="paragraph" w:styleId="ListNumber3">
    <w:name w:val="List Number 3"/>
    <w:basedOn w:val="List3"/>
    <w:rsid w:val="004C0C60"/>
    <w:pPr>
      <w:numPr>
        <w:numId w:val="5"/>
      </w:numPr>
    </w:pPr>
  </w:style>
  <w:style w:type="paragraph" w:styleId="ListNumber4">
    <w:name w:val="List Number 4"/>
    <w:basedOn w:val="List4"/>
    <w:rsid w:val="004C0C60"/>
    <w:pPr>
      <w:numPr>
        <w:numId w:val="6"/>
      </w:numPr>
    </w:pPr>
  </w:style>
  <w:style w:type="paragraph" w:styleId="ListNumber5">
    <w:name w:val="List Number 5"/>
    <w:basedOn w:val="List5"/>
    <w:rsid w:val="004C0C60"/>
    <w:pPr>
      <w:numPr>
        <w:numId w:val="7"/>
      </w:numPr>
    </w:pPr>
  </w:style>
  <w:style w:type="paragraph" w:styleId="BlockText">
    <w:name w:val="Block Text"/>
    <w:basedOn w:val="Normal"/>
    <w:rsid w:val="004C0C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0C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0C60"/>
    <w:rPr>
      <w:sz w:val="16"/>
      <w:vertAlign w:val="superscript"/>
    </w:rPr>
  </w:style>
  <w:style w:type="character" w:customStyle="1" w:styleId="Symbols">
    <w:name w:val="Symbols"/>
    <w:basedOn w:val="DefaultParagraphFont"/>
    <w:rsid w:val="004C0C60"/>
    <w:rPr>
      <w:rFonts w:ascii="Symbol" w:hAnsi="Symbol"/>
    </w:rPr>
  </w:style>
  <w:style w:type="character" w:customStyle="1" w:styleId="MenuOptions">
    <w:name w:val="Menu Options"/>
    <w:basedOn w:val="DefaultParagraphFont"/>
    <w:rsid w:val="004C0C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0C60"/>
    <w:rPr>
      <w:b/>
    </w:rPr>
  </w:style>
  <w:style w:type="character" w:customStyle="1" w:styleId="Underlined">
    <w:name w:val="Underlined"/>
    <w:basedOn w:val="DefaultParagraphFont"/>
    <w:rsid w:val="004C0C60"/>
    <w:rPr>
      <w:u w:val="single"/>
    </w:rPr>
  </w:style>
  <w:style w:type="paragraph" w:customStyle="1" w:styleId="TableBodyTextRight">
    <w:name w:val="Table Body Text Right"/>
    <w:basedOn w:val="TableBodyText"/>
    <w:rsid w:val="004C0C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0C60"/>
    <w:rPr>
      <w:sz w:val="18"/>
    </w:rPr>
  </w:style>
  <w:style w:type="paragraph" w:customStyle="1" w:styleId="BodySmallRight">
    <w:name w:val="Body Small Right"/>
    <w:basedOn w:val="BodyTextRight"/>
    <w:rsid w:val="004C0C60"/>
    <w:rPr>
      <w:sz w:val="18"/>
      <w:szCs w:val="18"/>
    </w:rPr>
  </w:style>
  <w:style w:type="paragraph" w:customStyle="1" w:styleId="MarginEdition">
    <w:name w:val="Margin Edition"/>
    <w:basedOn w:val="MarginNote"/>
    <w:rsid w:val="004C0C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0C60"/>
    <w:rPr>
      <w:sz w:val="2"/>
      <w:szCs w:val="2"/>
    </w:rPr>
  </w:style>
  <w:style w:type="character" w:customStyle="1" w:styleId="Small">
    <w:name w:val="Small"/>
    <w:basedOn w:val="DefaultParagraphFont"/>
    <w:rsid w:val="004C0C60"/>
    <w:rPr>
      <w:sz w:val="16"/>
    </w:rPr>
  </w:style>
  <w:style w:type="paragraph" w:customStyle="1" w:styleId="WideTable">
    <w:name w:val="Wide Table"/>
    <w:basedOn w:val="Normal"/>
    <w:rsid w:val="004C0C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0C60"/>
  </w:style>
  <w:style w:type="paragraph" w:styleId="Quote">
    <w:name w:val="Quote"/>
    <w:basedOn w:val="Heading1"/>
    <w:link w:val="QuoteChar"/>
    <w:qFormat/>
    <w:rsid w:val="004C0C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0C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0C60"/>
    <w:pPr>
      <w:pageBreakBefore/>
    </w:pPr>
  </w:style>
  <w:style w:type="paragraph" w:customStyle="1" w:styleId="Border">
    <w:name w:val="Border"/>
    <w:basedOn w:val="Normal"/>
    <w:qFormat/>
    <w:rsid w:val="004C0C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0C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C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C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0C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0C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0C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0C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0C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0C60"/>
    <w:rPr>
      <w:u w:val="single"/>
    </w:rPr>
  </w:style>
  <w:style w:type="character" w:customStyle="1" w:styleId="BoldandItalics">
    <w:name w:val="Bold and Italics"/>
    <w:qFormat/>
    <w:rsid w:val="004C0C60"/>
    <w:rPr>
      <w:b/>
      <w:i/>
      <w:u w:val="none"/>
    </w:rPr>
  </w:style>
  <w:style w:type="paragraph" w:styleId="BalloonText">
    <w:name w:val="Balloon Text"/>
    <w:basedOn w:val="Normal"/>
    <w:link w:val="BalloonTextChar"/>
    <w:rsid w:val="004C0C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0C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0C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0C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0C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0C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0C60"/>
    <w:pPr>
      <w:spacing w:before="0" w:after="0"/>
    </w:pPr>
  </w:style>
  <w:style w:type="paragraph" w:customStyle="1" w:styleId="BodyTextBold">
    <w:name w:val="Body Text Bold"/>
    <w:basedOn w:val="BodyText"/>
    <w:qFormat/>
    <w:rsid w:val="004C0C60"/>
    <w:rPr>
      <w:b/>
    </w:rPr>
  </w:style>
  <w:style w:type="character" w:styleId="Hyperlink">
    <w:name w:val="Hyperlink"/>
    <w:basedOn w:val="DefaultParagraphFont"/>
    <w:uiPriority w:val="99"/>
    <w:unhideWhenUsed/>
    <w:rsid w:val="00970E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749</Words>
  <Characters>5125</Characters>
  <Application>Microsoft Office Word</Application>
  <DocSecurity>0</DocSecurity>
  <Lines>155</Lines>
  <Paragraphs>96</Paragraphs>
  <ScaleCrop>false</ScaleCrop>
  <Company>Author-it Software Corporation Ltd.</Company>
  <LinksUpToDate>false</LinksUpToDate>
  <CharactersWithSpaces>5778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PSPREG033 Apply regulatory powers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2025-03-02T01:43:00Z</dcterms:created>
  <dcterms:modified xsi:type="dcterms:W3CDTF">2025-03-02T01:43:00Z</dcterms:modified>
</cp:coreProperties>
</file>