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709" w:rsidP="00D10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PSPREG033 Apply regulatory powers</w:t>
      </w:r>
      <w:r>
        <w:fldChar w:fldCharType="end"/>
      </w:r>
    </w:p>
    <w:p w:rsidR="00D10709" w:rsidP="00D10709">
      <w:pPr>
        <w:pStyle w:val="Version"/>
        <w:sectPr w:rsidSect="005E7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A80" w:rsidP="005E7A80">
      <w:pPr>
        <w:pStyle w:val="SuperHeading"/>
      </w:pPr>
      <w:r w:rsidRPr="005E7A80">
        <w:t>Assessment Requirements for PSPREG033 Apply regulatory powers</w:t>
      </w:r>
    </w:p>
    <w:p w:rsidR="00000000" w:rsidRPr="005E7A80" w:rsidP="005E7A80">
      <w:pPr>
        <w:pStyle w:val="Heading1"/>
      </w:pPr>
      <w:bookmarkStart w:id="1" w:name="O_1216874"/>
      <w:bookmarkEnd w:id="1"/>
      <w:r w:rsidRPr="005E7A80">
        <w:t>Modification History</w:t>
      </w:r>
    </w:p>
    <w:p w:rsidR="00000000" w:rsidRPr="005E7A80" w:rsidP="00D10709">
      <w:pPr>
        <w:pStyle w:val="BodyText"/>
      </w:pPr>
      <w:r w:rsidRPr="005E7A80">
        <w:t xml:space="preserve">Supersedes and is not equivalent to PSPREG003 Apply regulatory powers. </w:t>
      </w:r>
    </w:p>
    <w:p w:rsidR="00000000" w:rsidRPr="005E7A80" w:rsidP="005E7A80">
      <w:pPr>
        <w:pStyle w:val="Heading1"/>
      </w:pPr>
      <w:bookmarkStart w:id="2" w:name="O_1216875"/>
      <w:bookmarkEnd w:id="2"/>
      <w:r w:rsidRPr="005E7A80">
        <w:t>Performance Evidence</w:t>
      </w:r>
    </w:p>
    <w:p w:rsidR="00000000" w:rsidRPr="005E7A80" w:rsidP="00D10709">
      <w:pPr>
        <w:pStyle w:val="BodyText"/>
      </w:pPr>
      <w:r w:rsidRPr="005E7A80">
        <w:t>Evidence of the ability to complete tasks outlined in elements and performance criteria of this unit in</w:t>
      </w:r>
      <w:r w:rsidRPr="005E7A80">
        <w:t xml:space="preserve"> the context of the job role, and:</w:t>
      </w:r>
    </w:p>
    <w:p w:rsidR="00000000" w:rsidRPr="005E7A80" w:rsidP="005E7A80">
      <w:pPr>
        <w:pStyle w:val="ListBullet"/>
      </w:pPr>
      <w:r w:rsidRPr="005E7A80">
        <w:t>identify regulatory responses and measures to address three different circumstances and justify each response against legislation, regulations, guidelines and policies.</w:t>
      </w:r>
    </w:p>
    <w:p w:rsidR="00000000" w:rsidRPr="005E7A80" w:rsidP="005E7A80">
      <w:pPr>
        <w:pStyle w:val="AllowPageBreak"/>
      </w:pPr>
    </w:p>
    <w:p w:rsidR="00000000" w:rsidRPr="005E7A80" w:rsidP="005E7A80">
      <w:pPr>
        <w:pStyle w:val="Heading1"/>
      </w:pPr>
      <w:bookmarkStart w:id="3" w:name="O_1216876"/>
      <w:bookmarkEnd w:id="3"/>
      <w:r w:rsidRPr="005E7A80">
        <w:t>Knowledge Evidence</w:t>
      </w:r>
    </w:p>
    <w:p w:rsidR="00000000" w:rsidRPr="005E7A80" w:rsidP="00D10709">
      <w:pPr>
        <w:pStyle w:val="BodyText"/>
      </w:pPr>
      <w:r w:rsidRPr="005E7A80">
        <w:t xml:space="preserve">Demonstrated </w:t>
      </w:r>
      <w:r w:rsidRPr="005E7A80">
        <w:t>knowledge required to complete the tasks outlined in elements and performance criteria of this unit:</w:t>
      </w:r>
    </w:p>
    <w:p w:rsidR="00000000" w:rsidRPr="005E7A80" w:rsidP="005E7A80">
      <w:pPr>
        <w:pStyle w:val="ListBullet"/>
      </w:pPr>
      <w:r w:rsidRPr="005E7A80">
        <w:t>legislation and jurisdictional laws relating to the exercise of regulatory powers including the following aspects:</w:t>
      </w:r>
    </w:p>
    <w:p w:rsidR="00000000" w:rsidRPr="005E7A80" w:rsidP="005E7A80">
      <w:pPr>
        <w:pStyle w:val="ListBullet2"/>
      </w:pPr>
      <w:r w:rsidRPr="005E7A80">
        <w:t>full range of regulatory powers and th</w:t>
      </w:r>
      <w:r w:rsidRPr="005E7A80">
        <w:t>e limits to those powers</w:t>
      </w:r>
    </w:p>
    <w:p w:rsidR="00000000" w:rsidRPr="005E7A80" w:rsidP="005E7A80">
      <w:pPr>
        <w:pStyle w:val="ListBullet2"/>
      </w:pPr>
      <w:r w:rsidRPr="005E7A80">
        <w:t>enabling legislation</w:t>
      </w:r>
    </w:p>
    <w:p w:rsidR="00000000" w:rsidRPr="005E7A80" w:rsidP="005E7A80">
      <w:pPr>
        <w:pStyle w:val="ListBullet2"/>
      </w:pPr>
      <w:r w:rsidRPr="005E7A80">
        <w:t>offences under the legislation</w:t>
      </w:r>
    </w:p>
    <w:p w:rsidR="00000000" w:rsidRPr="005E7A80" w:rsidP="005E7A80">
      <w:pPr>
        <w:pStyle w:val="ListBullet2"/>
      </w:pPr>
      <w:r w:rsidRPr="005E7A80">
        <w:t>aspects of criminal law, administrative law, industrial law, contract law applicable to regulatory compliance</w:t>
      </w:r>
    </w:p>
    <w:p w:rsidR="00000000" w:rsidRPr="005E7A80" w:rsidP="005E7A80">
      <w:pPr>
        <w:pStyle w:val="ListBullet2"/>
      </w:pPr>
      <w:r w:rsidRPr="005E7A80">
        <w:t>statutory time limits</w:t>
      </w:r>
    </w:p>
    <w:p w:rsidR="00000000" w:rsidRPr="005E7A80" w:rsidP="005E7A80">
      <w:pPr>
        <w:pStyle w:val="ListBullet2"/>
      </w:pPr>
      <w:r w:rsidRPr="005E7A80">
        <w:t>terminology used in legislation and procedures</w:t>
      </w:r>
    </w:p>
    <w:p w:rsidR="00000000" w:rsidRPr="005E7A80" w:rsidP="005E7A80">
      <w:pPr>
        <w:pStyle w:val="ListBullet"/>
      </w:pPr>
      <w:r w:rsidRPr="005E7A80">
        <w:t>organisational policies, procedures and guidelines including referral and reporting processes</w:t>
      </w:r>
    </w:p>
    <w:p w:rsidR="00000000" w:rsidRPr="005E7A80" w:rsidP="005E7A80">
      <w:pPr>
        <w:pStyle w:val="ListBullet"/>
      </w:pPr>
      <w:r w:rsidRPr="005E7A80">
        <w:t>principles of evidence-based decision-making including:</w:t>
      </w:r>
    </w:p>
    <w:p w:rsidR="00000000" w:rsidRPr="005E7A80" w:rsidP="005E7A80">
      <w:pPr>
        <w:pStyle w:val="ListBullet2"/>
      </w:pPr>
      <w:r w:rsidRPr="005E7A80">
        <w:t xml:space="preserve">the nature of evidence </w:t>
      </w:r>
    </w:p>
    <w:p w:rsidR="00000000" w:rsidRPr="005E7A80" w:rsidP="005E7A80">
      <w:pPr>
        <w:pStyle w:val="ListBullet2"/>
      </w:pPr>
      <w:r w:rsidRPr="005E7A80">
        <w:t>methods of collection.</w:t>
      </w:r>
    </w:p>
    <w:p w:rsidR="00000000" w:rsidRPr="005E7A80" w:rsidP="005E7A80">
      <w:pPr>
        <w:pStyle w:val="AllowPageBreak"/>
      </w:pPr>
    </w:p>
    <w:p w:rsidR="00000000" w:rsidRPr="005E7A80" w:rsidP="005E7A80">
      <w:pPr>
        <w:pStyle w:val="Heading1"/>
      </w:pPr>
      <w:bookmarkStart w:id="4" w:name="O_1216877"/>
      <w:bookmarkEnd w:id="4"/>
      <w:r w:rsidRPr="005E7A80">
        <w:t>Assessment Conditions</w:t>
      </w:r>
    </w:p>
    <w:p w:rsidR="00000000" w:rsidRPr="005E7A80" w:rsidP="00D10709">
      <w:pPr>
        <w:pStyle w:val="BodyText"/>
      </w:pPr>
      <w:r w:rsidRPr="005E7A80">
        <w:t>Skills must be d</w:t>
      </w:r>
      <w:r w:rsidRPr="005E7A80">
        <w:t>emonstrated in the workplace or in a simulated environment that reflects workplace conditions.</w:t>
      </w:r>
    </w:p>
    <w:p w:rsidR="00000000" w:rsidRPr="005E7A80" w:rsidP="00D10709">
      <w:pPr>
        <w:pStyle w:val="BodyText"/>
      </w:pPr>
      <w:r w:rsidRPr="005E7A80">
        <w:t>Assessment must ensure access to:</w:t>
      </w:r>
    </w:p>
    <w:p w:rsidR="00000000" w:rsidRPr="005E7A80" w:rsidP="005E7A80">
      <w:pPr>
        <w:pStyle w:val="ListBullet"/>
      </w:pPr>
      <w:r w:rsidRPr="005E7A80">
        <w:t>legislation, jurisdictional laws and regulations relating to regulatory powers</w:t>
      </w:r>
    </w:p>
    <w:p w:rsidR="00000000" w:rsidRPr="005E7A80" w:rsidP="005E7A80">
      <w:pPr>
        <w:pStyle w:val="ListBullet"/>
      </w:pPr>
      <w:r w:rsidRPr="005E7A80">
        <w:t>organisational, policies, procedures and guidelines</w:t>
      </w:r>
    </w:p>
    <w:p w:rsidR="00000000" w:rsidRPr="005E7A80" w:rsidP="005E7A80">
      <w:pPr>
        <w:pStyle w:val="ListBullet"/>
      </w:pPr>
      <w:r w:rsidRPr="005E7A80">
        <w:t>resources and equipment of the working environment</w:t>
      </w:r>
    </w:p>
    <w:p w:rsidR="00000000" w:rsidRPr="005E7A80" w:rsidP="005E7A80">
      <w:pPr>
        <w:pStyle w:val="ListBullet"/>
      </w:pPr>
      <w:r w:rsidRPr="005E7A80">
        <w:t>assessors must satisfy the Standards for Registered Training Organisations’ requirements for assessors.</w:t>
      </w:r>
    </w:p>
    <w:p w:rsidR="00000000" w:rsidRPr="005E7A80" w:rsidP="005E7A80">
      <w:pPr>
        <w:pStyle w:val="AllowPageBreak"/>
      </w:pPr>
    </w:p>
    <w:p w:rsidR="00000000" w:rsidRPr="005E7A80" w:rsidP="005E7A80">
      <w:pPr>
        <w:pStyle w:val="Heading1"/>
      </w:pPr>
      <w:bookmarkStart w:id="5" w:name="O_1216880"/>
      <w:bookmarkEnd w:id="5"/>
      <w:r w:rsidRPr="005E7A80">
        <w:t>Links</w:t>
      </w:r>
    </w:p>
    <w:p w:rsidR="00000000" w:rsidRPr="005E7A80" w:rsidP="00D10709">
      <w:pPr>
        <w:pStyle w:val="BodyText"/>
      </w:pPr>
      <w:r w:rsidRPr="005E7A80">
        <w:t>Companion Volume impleme</w:t>
      </w:r>
      <w:r w:rsidRPr="005E7A80">
        <w:t xml:space="preserve">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7B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E7A80" w:rsidP="005E7A80"/>
    <w:sectPr w:rsidSect="005E7A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80" w:rsidRPr="00D10709" w:rsidP="00D10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09" w:rsidP="005E7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0709" w:rsidP="005E7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10709" w:rsidP="005E7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A80" w:rsidRPr="00D10709" w:rsidP="00D10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09" w:rsidRPr="002D2AF8" w:rsidP="005E7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PSPREG033 Apply regulatory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0709" w:rsidP="005E7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6D4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E0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8F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A80"/>
  </w:style>
  <w:style w:type="character" w:customStyle="1" w:styleId="Heading1Char">
    <w:name w:val="Heading 1 Char"/>
    <w:basedOn w:val="DefaultParagraphFont"/>
    <w:link w:val="Heading1"/>
    <w:rsid w:val="005E7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A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A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A80"/>
    <w:rPr>
      <w:b/>
      <w:spacing w:val="0"/>
    </w:rPr>
  </w:style>
  <w:style w:type="paragraph" w:customStyle="1" w:styleId="SuperTitle">
    <w:name w:val="SuperTitle"/>
    <w:basedOn w:val="Title"/>
    <w:rsid w:val="005E7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A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A80"/>
    <w:rPr>
      <w:i/>
    </w:rPr>
  </w:style>
  <w:style w:type="paragraph" w:styleId="Caption">
    <w:name w:val="caption"/>
    <w:basedOn w:val="BodyText"/>
    <w:next w:val="Normal"/>
    <w:qFormat/>
    <w:rsid w:val="005E7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A80"/>
  </w:style>
  <w:style w:type="paragraph" w:styleId="TableofFigures">
    <w:name w:val="table of figures"/>
    <w:basedOn w:val="Normal"/>
    <w:next w:val="Normal"/>
    <w:semiHidden/>
    <w:rsid w:val="005E7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A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A80"/>
    <w:rPr>
      <w:rFonts w:ascii="Wingdings" w:hAnsi="Wingdings"/>
    </w:rPr>
  </w:style>
  <w:style w:type="paragraph" w:customStyle="1" w:styleId="TableHeading">
    <w:name w:val="Table Heading"/>
    <w:basedOn w:val="HeadingBase"/>
    <w:rsid w:val="005E7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A80"/>
    <w:rPr>
      <w:color w:val="0033CC"/>
      <w:u w:val="none"/>
    </w:rPr>
  </w:style>
  <w:style w:type="paragraph" w:customStyle="1" w:styleId="BodyTextRight">
    <w:name w:val="Body Text Right"/>
    <w:basedOn w:val="BodyText"/>
    <w:rsid w:val="005E7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A80"/>
    <w:rPr>
      <w:sz w:val="32"/>
    </w:rPr>
  </w:style>
  <w:style w:type="paragraph" w:customStyle="1" w:styleId="HeadingProcedure">
    <w:name w:val="Heading Procedure"/>
    <w:basedOn w:val="HeadingBase"/>
    <w:next w:val="Normal"/>
    <w:rsid w:val="005E7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A80"/>
    <w:pPr>
      <w:spacing w:before="60" w:after="60"/>
    </w:pPr>
  </w:style>
  <w:style w:type="paragraph" w:styleId="ListContinue">
    <w:name w:val="List Continue"/>
    <w:basedOn w:val="List"/>
    <w:rsid w:val="005E7A80"/>
    <w:pPr>
      <w:ind w:firstLine="0"/>
    </w:pPr>
  </w:style>
  <w:style w:type="paragraph" w:customStyle="1" w:styleId="ListNote">
    <w:name w:val="List Note"/>
    <w:basedOn w:val="List"/>
    <w:rsid w:val="005E7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A80"/>
    <w:rPr>
      <w:rFonts w:ascii="Courier New" w:hAnsi="Courier New"/>
    </w:rPr>
  </w:style>
  <w:style w:type="paragraph" w:customStyle="1" w:styleId="NoteBullet">
    <w:name w:val="Note Bullet"/>
    <w:basedOn w:val="Note"/>
    <w:rsid w:val="005E7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A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A80"/>
    <w:rPr>
      <w:b/>
      <w:smallCaps/>
    </w:rPr>
  </w:style>
  <w:style w:type="paragraph" w:customStyle="1" w:styleId="TableListNumber">
    <w:name w:val="Table List Number"/>
    <w:basedOn w:val="ListNumber"/>
    <w:rsid w:val="005E7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A80"/>
    <w:pPr>
      <w:numPr>
        <w:numId w:val="9"/>
      </w:numPr>
    </w:pPr>
  </w:style>
  <w:style w:type="paragraph" w:customStyle="1" w:styleId="ListAlpha2">
    <w:name w:val="List Alpha 2"/>
    <w:basedOn w:val="List2"/>
    <w:rsid w:val="005E7A80"/>
    <w:pPr>
      <w:numPr>
        <w:numId w:val="8"/>
      </w:numPr>
    </w:pPr>
  </w:style>
  <w:style w:type="paragraph" w:styleId="List2">
    <w:name w:val="List 2"/>
    <w:basedOn w:val="BodyText"/>
    <w:rsid w:val="005E7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A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A80"/>
    <w:pPr>
      <w:numPr>
        <w:numId w:val="4"/>
      </w:numPr>
    </w:pPr>
  </w:style>
  <w:style w:type="paragraph" w:styleId="ListContinue2">
    <w:name w:val="List Continue 2"/>
    <w:basedOn w:val="List2"/>
    <w:rsid w:val="005E7A80"/>
    <w:pPr>
      <w:ind w:firstLine="0"/>
    </w:pPr>
  </w:style>
  <w:style w:type="paragraph" w:styleId="ListContinue3">
    <w:name w:val="List Continue 3"/>
    <w:basedOn w:val="List3"/>
    <w:rsid w:val="005E7A80"/>
    <w:pPr>
      <w:ind w:left="1021" w:firstLine="0"/>
    </w:pPr>
  </w:style>
  <w:style w:type="paragraph" w:styleId="ListContinue4">
    <w:name w:val="List Continue 4"/>
    <w:basedOn w:val="List4"/>
    <w:rsid w:val="005E7A80"/>
    <w:pPr>
      <w:ind w:firstLine="0"/>
    </w:pPr>
  </w:style>
  <w:style w:type="paragraph" w:styleId="ListContinue5">
    <w:name w:val="List Continue 5"/>
    <w:basedOn w:val="List5"/>
    <w:rsid w:val="005E7A80"/>
    <w:pPr>
      <w:ind w:firstLine="0"/>
    </w:pPr>
  </w:style>
  <w:style w:type="paragraph" w:styleId="ListNumber3">
    <w:name w:val="List Number 3"/>
    <w:basedOn w:val="List3"/>
    <w:rsid w:val="005E7A80"/>
    <w:pPr>
      <w:numPr>
        <w:numId w:val="5"/>
      </w:numPr>
    </w:pPr>
  </w:style>
  <w:style w:type="paragraph" w:styleId="ListNumber4">
    <w:name w:val="List Number 4"/>
    <w:basedOn w:val="List4"/>
    <w:rsid w:val="005E7A80"/>
    <w:pPr>
      <w:numPr>
        <w:numId w:val="6"/>
      </w:numPr>
    </w:pPr>
  </w:style>
  <w:style w:type="paragraph" w:styleId="ListNumber5">
    <w:name w:val="List Number 5"/>
    <w:basedOn w:val="List5"/>
    <w:rsid w:val="005E7A80"/>
    <w:pPr>
      <w:numPr>
        <w:numId w:val="7"/>
      </w:numPr>
    </w:pPr>
  </w:style>
  <w:style w:type="paragraph" w:styleId="BlockText">
    <w:name w:val="Block Text"/>
    <w:basedOn w:val="Normal"/>
    <w:rsid w:val="005E7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A80"/>
    <w:rPr>
      <w:sz w:val="16"/>
      <w:vertAlign w:val="superscript"/>
    </w:rPr>
  </w:style>
  <w:style w:type="character" w:customStyle="1" w:styleId="Symbols">
    <w:name w:val="Symbols"/>
    <w:basedOn w:val="DefaultParagraphFont"/>
    <w:rsid w:val="005E7A80"/>
    <w:rPr>
      <w:rFonts w:ascii="Symbol" w:hAnsi="Symbol"/>
    </w:rPr>
  </w:style>
  <w:style w:type="character" w:customStyle="1" w:styleId="MenuOptions">
    <w:name w:val="Menu Options"/>
    <w:basedOn w:val="DefaultParagraphFont"/>
    <w:rsid w:val="005E7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A80"/>
    <w:rPr>
      <w:b/>
    </w:rPr>
  </w:style>
  <w:style w:type="character" w:customStyle="1" w:styleId="Underlined">
    <w:name w:val="Underlined"/>
    <w:basedOn w:val="DefaultParagraphFont"/>
    <w:rsid w:val="005E7A80"/>
    <w:rPr>
      <w:u w:val="single"/>
    </w:rPr>
  </w:style>
  <w:style w:type="paragraph" w:customStyle="1" w:styleId="TableBodyTextRight">
    <w:name w:val="Table Body Text Right"/>
    <w:basedOn w:val="TableBodyText"/>
    <w:rsid w:val="005E7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A80"/>
    <w:rPr>
      <w:sz w:val="18"/>
    </w:rPr>
  </w:style>
  <w:style w:type="paragraph" w:customStyle="1" w:styleId="BodySmallRight">
    <w:name w:val="Body Small Right"/>
    <w:basedOn w:val="BodyTextRight"/>
    <w:rsid w:val="005E7A80"/>
    <w:rPr>
      <w:sz w:val="18"/>
      <w:szCs w:val="18"/>
    </w:rPr>
  </w:style>
  <w:style w:type="paragraph" w:customStyle="1" w:styleId="MarginEdition">
    <w:name w:val="Margin Edition"/>
    <w:basedOn w:val="MarginNote"/>
    <w:rsid w:val="005E7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A80"/>
    <w:rPr>
      <w:sz w:val="2"/>
      <w:szCs w:val="2"/>
    </w:rPr>
  </w:style>
  <w:style w:type="character" w:customStyle="1" w:styleId="Small">
    <w:name w:val="Small"/>
    <w:basedOn w:val="DefaultParagraphFont"/>
    <w:rsid w:val="005E7A80"/>
    <w:rPr>
      <w:sz w:val="16"/>
    </w:rPr>
  </w:style>
  <w:style w:type="paragraph" w:customStyle="1" w:styleId="WideTable">
    <w:name w:val="Wide Table"/>
    <w:basedOn w:val="Normal"/>
    <w:rsid w:val="005E7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A80"/>
  </w:style>
  <w:style w:type="paragraph" w:styleId="Quote">
    <w:name w:val="Quote"/>
    <w:basedOn w:val="Heading1"/>
    <w:link w:val="QuoteChar"/>
    <w:qFormat/>
    <w:rsid w:val="005E7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A80"/>
    <w:pPr>
      <w:pageBreakBefore/>
    </w:pPr>
  </w:style>
  <w:style w:type="paragraph" w:customStyle="1" w:styleId="Border">
    <w:name w:val="Border"/>
    <w:basedOn w:val="Normal"/>
    <w:qFormat/>
    <w:rsid w:val="005E7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A80"/>
    <w:rPr>
      <w:u w:val="single"/>
    </w:rPr>
  </w:style>
  <w:style w:type="character" w:customStyle="1" w:styleId="BoldandItalics">
    <w:name w:val="Bold and Italics"/>
    <w:qFormat/>
    <w:rsid w:val="005E7A80"/>
    <w:rPr>
      <w:b/>
      <w:i/>
      <w:u w:val="none"/>
    </w:rPr>
  </w:style>
  <w:style w:type="paragraph" w:styleId="BalloonText">
    <w:name w:val="Balloon Text"/>
    <w:basedOn w:val="Normal"/>
    <w:link w:val="BalloonTextChar"/>
    <w:rsid w:val="005E7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A80"/>
    <w:pPr>
      <w:spacing w:before="0" w:after="0"/>
    </w:pPr>
  </w:style>
  <w:style w:type="paragraph" w:customStyle="1" w:styleId="BodyTextBold">
    <w:name w:val="Body Text Bold"/>
    <w:basedOn w:val="BodyText"/>
    <w:qFormat/>
    <w:rsid w:val="005E7A80"/>
    <w:rPr>
      <w:b/>
    </w:rPr>
  </w:style>
  <w:style w:type="character" w:styleId="Hyperlink">
    <w:name w:val="Hyperlink"/>
    <w:basedOn w:val="DefaultParagraphFont"/>
    <w:uiPriority w:val="99"/>
    <w:unhideWhenUsed/>
    <w:rsid w:val="00D10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1819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PSPREG033 Apply regulatory powers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