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EC7" w:rsidP="00834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PSPREG011 Give evidence</w:t>
      </w:r>
      <w:r>
        <w:fldChar w:fldCharType="end"/>
      </w:r>
    </w:p>
    <w:p w:rsidR="00834EC7" w:rsidP="00834EC7">
      <w:pPr>
        <w:pStyle w:val="Version"/>
        <w:sectPr w:rsidSect="00031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2D2" w:rsidP="000312D2">
      <w:pPr>
        <w:pStyle w:val="SuperHeading"/>
      </w:pPr>
      <w:r w:rsidRPr="000312D2">
        <w:t>Assessment Requirements for PSPREG011 Give evidence</w:t>
      </w:r>
    </w:p>
    <w:p w:rsidR="00000000" w:rsidRPr="000312D2" w:rsidP="000312D2">
      <w:pPr>
        <w:pStyle w:val="Heading1"/>
      </w:pPr>
      <w:bookmarkStart w:id="1" w:name="O_825789"/>
      <w:bookmarkEnd w:id="1"/>
      <w:r w:rsidRPr="000312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34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D2">
            <w:pPr>
              <w:pStyle w:val="TableHeading"/>
              <w:rPr>
                <w:lang w:val="en-NZ"/>
              </w:rPr>
            </w:pPr>
            <w:r w:rsidRPr="000312D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D2">
            <w:pPr>
              <w:pStyle w:val="TableHeading"/>
              <w:rPr>
                <w:lang w:val="en-NZ"/>
              </w:rPr>
            </w:pPr>
            <w:r w:rsidRPr="000312D2">
              <w:t>Comments</w:t>
            </w:r>
          </w:p>
        </w:tc>
      </w:tr>
      <w:tr w:rsidTr="00834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D2">
            <w:pPr>
              <w:pStyle w:val="BodyText"/>
              <w:rPr>
                <w:lang w:val="en-NZ"/>
              </w:rPr>
            </w:pPr>
            <w:r w:rsidRPr="000312D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D2" w:rsidP="000312D2">
            <w:pPr>
              <w:pStyle w:val="BodyText"/>
            </w:pPr>
            <w:r w:rsidRPr="000312D2">
              <w:t xml:space="preserve">These Assessment Requirements were released in PSP Public Sector Training Package release 1.0 and meet the Standards for Training Packages. </w:t>
            </w:r>
          </w:p>
          <w:p w:rsidR="00000000" w:rsidRPr="000312D2" w:rsidP="000312D2">
            <w:pPr>
              <w:pStyle w:val="BodyText"/>
            </w:pPr>
          </w:p>
          <w:p w:rsidR="00000000" w:rsidRPr="000312D2" w:rsidP="000312D2">
            <w:pPr>
              <w:pStyle w:val="ListBullet"/>
            </w:pPr>
            <w:r w:rsidRPr="000312D2">
              <w:t>Assessment Requirements created drawing upon specified assessmen</w:t>
            </w:r>
            <w:r w:rsidRPr="000312D2">
              <w:t>t information from superseded unit</w:t>
            </w:r>
          </w:p>
        </w:tc>
      </w:tr>
    </w:tbl>
    <w:p w:rsidR="00000000" w:rsidRPr="000312D2" w:rsidP="000312D2">
      <w:pPr>
        <w:pStyle w:val="BodyText"/>
      </w:pPr>
    </w:p>
    <w:p w:rsidR="00000000" w:rsidRPr="000312D2" w:rsidP="000312D2">
      <w:pPr>
        <w:pStyle w:val="AllowPageBreak"/>
      </w:pPr>
    </w:p>
    <w:p w:rsidR="00000000" w:rsidRPr="000312D2" w:rsidP="000312D2">
      <w:pPr>
        <w:pStyle w:val="Heading1"/>
      </w:pPr>
      <w:bookmarkStart w:id="2" w:name="O_825790"/>
      <w:bookmarkEnd w:id="2"/>
      <w:r w:rsidRPr="000312D2">
        <w:t>Performance Evidence</w:t>
      </w:r>
    </w:p>
    <w:p w:rsidR="00000000" w:rsidRPr="000312D2" w:rsidP="00834EC7">
      <w:pPr>
        <w:pStyle w:val="BodyText"/>
      </w:pPr>
      <w:r w:rsidRPr="000312D2">
        <w:t xml:space="preserve">Evidence required to demonstrate competence must satisfy all of the requirements of the elements and performance criteria. If not otherwise specified </w:t>
      </w:r>
      <w:r w:rsidRPr="000312D2">
        <w:t>the candidate must demonstrate evidence of performance of the following on at least one occasion.</w:t>
      </w:r>
    </w:p>
    <w:p w:rsidR="00000000" w:rsidRPr="000312D2" w:rsidP="000312D2">
      <w:pPr>
        <w:pStyle w:val="ListBullet"/>
      </w:pPr>
      <w:r w:rsidRPr="000312D2">
        <w:t>presenting evidence clearly and concisely</w:t>
      </w:r>
    </w:p>
    <w:p w:rsidR="00000000" w:rsidRPr="000312D2" w:rsidP="000312D2">
      <w:pPr>
        <w:pStyle w:val="ListBullet"/>
      </w:pPr>
      <w:r w:rsidRPr="000312D2">
        <w:t>writing reports</w:t>
      </w:r>
    </w:p>
    <w:p w:rsidR="00000000" w:rsidRPr="000312D2" w:rsidP="000312D2">
      <w:pPr>
        <w:pStyle w:val="ListBullet"/>
      </w:pPr>
      <w:r w:rsidRPr="000312D2">
        <w:t>taking notes</w:t>
      </w:r>
    </w:p>
    <w:p w:rsidR="00000000" w:rsidRPr="000312D2" w:rsidP="000312D2">
      <w:pPr>
        <w:pStyle w:val="ListBullet"/>
      </w:pPr>
      <w:r w:rsidRPr="000312D2">
        <w:t>communicating with people from diverse backgrounds</w:t>
      </w:r>
    </w:p>
    <w:p w:rsidR="00000000" w:rsidRPr="000312D2" w:rsidP="000312D2">
      <w:pPr>
        <w:pStyle w:val="ListBullet"/>
      </w:pPr>
      <w:r w:rsidRPr="000312D2">
        <w:t>making comparisons and exercising j</w:t>
      </w:r>
      <w:r w:rsidRPr="000312D2">
        <w:t>udgment about facts in written materials</w:t>
      </w:r>
    </w:p>
    <w:p w:rsidR="00000000" w:rsidRPr="000312D2" w:rsidP="000312D2">
      <w:pPr>
        <w:pStyle w:val="ListBullet"/>
      </w:pPr>
      <w:r w:rsidRPr="000312D2">
        <w:t>report writing using formal structures and language</w:t>
      </w:r>
    </w:p>
    <w:p w:rsidR="00000000" w:rsidRPr="000312D2" w:rsidP="000312D2">
      <w:pPr>
        <w:pStyle w:val="AllowPageBreak"/>
      </w:pPr>
    </w:p>
    <w:p w:rsidR="00000000" w:rsidRPr="000312D2" w:rsidP="000312D2">
      <w:pPr>
        <w:pStyle w:val="Heading1"/>
      </w:pPr>
      <w:bookmarkStart w:id="3" w:name="O_825791"/>
      <w:bookmarkEnd w:id="3"/>
      <w:r w:rsidRPr="000312D2">
        <w:t>Knowledge Evidence</w:t>
      </w:r>
    </w:p>
    <w:p w:rsidR="00000000" w:rsidRPr="000312D2" w:rsidP="00834EC7">
      <w:pPr>
        <w:pStyle w:val="BodyText"/>
      </w:pPr>
      <w:r w:rsidRPr="000312D2">
        <w:t>Evidence required to demonstrate competence must satisfy all of the requirements of the elements and performance criteria. If n</w:t>
      </w:r>
      <w:r w:rsidRPr="000312D2">
        <w:t>ot otherwise specified the depth of knowledge demonstrated must be appropriate to the job context of the candidate.</w:t>
      </w:r>
    </w:p>
    <w:p w:rsidR="00000000" w:rsidRPr="000312D2" w:rsidP="000312D2">
      <w:pPr>
        <w:pStyle w:val="ListBullet"/>
      </w:pPr>
      <w:r w:rsidRPr="000312D2">
        <w:t>court prosecution processes</w:t>
      </w:r>
    </w:p>
    <w:p w:rsidR="00000000" w:rsidRPr="000312D2" w:rsidP="000312D2">
      <w:pPr>
        <w:pStyle w:val="ListBullet"/>
      </w:pPr>
      <w:r w:rsidRPr="000312D2">
        <w:t>common law versus judicial precedent versus legislation</w:t>
      </w:r>
    </w:p>
    <w:p w:rsidR="00000000" w:rsidRPr="000312D2" w:rsidP="000312D2">
      <w:pPr>
        <w:pStyle w:val="ListBullet"/>
      </w:pPr>
      <w:r w:rsidRPr="000312D2">
        <w:t>specific powers of the organisation</w:t>
      </w:r>
    </w:p>
    <w:p w:rsidR="00000000" w:rsidRPr="000312D2" w:rsidP="000312D2">
      <w:pPr>
        <w:pStyle w:val="ListBullet"/>
      </w:pPr>
      <w:r w:rsidRPr="000312D2">
        <w:t>court/tribunal/comm</w:t>
      </w:r>
      <w:r w:rsidRPr="000312D2">
        <w:t>ission structures</w:t>
      </w:r>
    </w:p>
    <w:p w:rsidR="00000000" w:rsidRPr="000312D2" w:rsidP="000312D2">
      <w:pPr>
        <w:pStyle w:val="ListBullet"/>
      </w:pPr>
      <w:r w:rsidRPr="000312D2">
        <w:t>jurisdiction of each court/tribunal/commission</w:t>
      </w:r>
    </w:p>
    <w:p w:rsidR="00000000" w:rsidRPr="000312D2" w:rsidP="000312D2">
      <w:pPr>
        <w:pStyle w:val="ListBullet"/>
      </w:pPr>
      <w:r w:rsidRPr="000312D2">
        <w:t>appeals systems</w:t>
      </w:r>
    </w:p>
    <w:p w:rsidR="00000000" w:rsidRPr="000312D2" w:rsidP="000312D2">
      <w:pPr>
        <w:pStyle w:val="ListBullet"/>
      </w:pPr>
      <w:r w:rsidRPr="000312D2">
        <w:t>role of legal personnel in judicial or quasi-judicial systems</w:t>
      </w:r>
    </w:p>
    <w:p w:rsidR="00000000" w:rsidRPr="000312D2" w:rsidP="000312D2">
      <w:pPr>
        <w:pStyle w:val="ListBullet"/>
      </w:pPr>
      <w:r w:rsidRPr="000312D2">
        <w:t>procedures and protocols in different judicial or quasi-judicial systems</w:t>
      </w:r>
    </w:p>
    <w:p w:rsidR="00000000" w:rsidRPr="000312D2" w:rsidP="000312D2">
      <w:pPr>
        <w:pStyle w:val="ListBullet"/>
      </w:pPr>
      <w:r w:rsidRPr="000312D2">
        <w:t>types of offences</w:t>
      </w:r>
    </w:p>
    <w:p w:rsidR="00000000" w:rsidRPr="000312D2" w:rsidP="000312D2">
      <w:pPr>
        <w:pStyle w:val="ListBullet"/>
      </w:pPr>
      <w:r w:rsidRPr="000312D2">
        <w:t xml:space="preserve">general principles of </w:t>
      </w:r>
      <w:r w:rsidRPr="000312D2">
        <w:t>criminal liability</w:t>
      </w:r>
    </w:p>
    <w:p w:rsidR="00000000" w:rsidRPr="000312D2" w:rsidP="000312D2">
      <w:pPr>
        <w:pStyle w:val="ListBullet"/>
      </w:pPr>
      <w:r w:rsidRPr="000312D2">
        <w:t>exemptions and defences</w:t>
      </w:r>
    </w:p>
    <w:p w:rsidR="00000000" w:rsidRPr="000312D2" w:rsidP="000312D2">
      <w:pPr>
        <w:pStyle w:val="ListBullet"/>
      </w:pPr>
      <w:r w:rsidRPr="000312D2">
        <w:t>types of evidence admissible in judicial or quasi-judicial systems</w:t>
      </w:r>
    </w:p>
    <w:p w:rsidR="00000000" w:rsidRPr="000312D2" w:rsidP="000312D2">
      <w:pPr>
        <w:pStyle w:val="ListBullet"/>
      </w:pPr>
      <w:r w:rsidRPr="000312D2">
        <w:t>legislative requirements of presenting evidence</w:t>
      </w:r>
    </w:p>
    <w:p w:rsidR="00000000" w:rsidRPr="000312D2" w:rsidP="000312D2">
      <w:pPr>
        <w:pStyle w:val="ListBullet"/>
      </w:pPr>
      <w:r w:rsidRPr="000312D2">
        <w:t>use of notes in court/tribunal/commission</w:t>
      </w:r>
    </w:p>
    <w:p w:rsidR="00000000" w:rsidRPr="000312D2" w:rsidP="000312D2">
      <w:pPr>
        <w:pStyle w:val="ListBullet"/>
      </w:pPr>
      <w:r w:rsidRPr="000312D2">
        <w:t>public sector legislation</w:t>
      </w:r>
    </w:p>
    <w:p w:rsidR="00000000" w:rsidRPr="000312D2" w:rsidP="000312D2">
      <w:pPr>
        <w:pStyle w:val="AllowPageBreak"/>
      </w:pPr>
    </w:p>
    <w:p w:rsidR="00000000" w:rsidRPr="000312D2" w:rsidP="000312D2">
      <w:pPr>
        <w:pStyle w:val="Heading1"/>
      </w:pPr>
      <w:bookmarkStart w:id="4" w:name="O_825792"/>
      <w:bookmarkEnd w:id="4"/>
      <w:r w:rsidRPr="000312D2">
        <w:t>Assessment Conditions</w:t>
      </w:r>
    </w:p>
    <w:p w:rsidR="00000000" w:rsidRPr="000312D2" w:rsidP="00834EC7">
      <w:pPr>
        <w:pStyle w:val="BodyText"/>
      </w:pPr>
      <w:r w:rsidRPr="000312D2">
        <w:t>This unit contains no specific industry-mandated assessment conditions. Guidance on suggested and recommended conditions and methods can be found in the Implementation Guide.</w:t>
      </w:r>
    </w:p>
    <w:p w:rsidR="00834EC7" w:rsidP="00834EC7">
      <w:pPr>
        <w:pStyle w:val="BodyText"/>
      </w:pPr>
      <w:r w:rsidRPr="000312D2">
        <w:t>Assessors must satisfy the NVR/AQTF mandatory competency r</w:t>
      </w:r>
      <w:r w:rsidRPr="000312D2">
        <w:t>equirements for assessors.</w:t>
      </w:r>
    </w:p>
    <w:p w:rsidR="00000000" w:rsidRPr="000312D2" w:rsidP="000312D2">
      <w:pPr>
        <w:pStyle w:val="Heading1"/>
      </w:pPr>
      <w:bookmarkStart w:id="5" w:name="O_825795"/>
      <w:bookmarkEnd w:id="5"/>
      <w:r w:rsidRPr="000312D2">
        <w:t>Links</w:t>
      </w:r>
    </w:p>
    <w:p w:rsidR="00000000" w:rsidRPr="000312D2" w:rsidP="00834EC7">
      <w:pPr>
        <w:pStyle w:val="BodyText"/>
      </w:pPr>
      <w:r w:rsidRPr="00031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6D8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312D2" w:rsidP="00834EC7">
      <w:pPr>
        <w:pStyle w:val="BodyText"/>
      </w:pPr>
      <w:r w:rsidRPr="000312D2">
        <w:t xml:space="preserve">Companion Volume implementation guides are found in VETNet </w:t>
      </w:r>
      <w:r w:rsidRPr="000312D2">
        <w:t xml:space="preserve">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6D8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312D2" w:rsidP="00834EC7">
      <w:pPr>
        <w:pStyle w:val="BodyText"/>
      </w:pPr>
      <w:r w:rsidRPr="00031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6D8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312D2" w:rsidP="000312D2"/>
    <w:sectPr w:rsidSect="000312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D2" w:rsidRPr="00834EC7" w:rsidP="00834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C7" w:rsidP="00031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4EC7" w:rsidP="00031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4EC7" w:rsidP="00031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2D2" w:rsidRPr="00834EC7" w:rsidP="00834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C7" w:rsidRPr="002D2AF8" w:rsidP="00031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PSPREG011 Give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34EC7" w:rsidP="00031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DEE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FA41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2D2"/>
  </w:style>
  <w:style w:type="character" w:customStyle="1" w:styleId="Heading1Char">
    <w:name w:val="Heading 1 Char"/>
    <w:basedOn w:val="DefaultParagraphFont"/>
    <w:link w:val="Heading1"/>
    <w:rsid w:val="00031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2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2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1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12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1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1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2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2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12D2"/>
    <w:rPr>
      <w:b/>
      <w:spacing w:val="0"/>
    </w:rPr>
  </w:style>
  <w:style w:type="paragraph" w:customStyle="1" w:styleId="SuperTitle">
    <w:name w:val="SuperTitle"/>
    <w:basedOn w:val="Title"/>
    <w:rsid w:val="00031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12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1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2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2D2"/>
    <w:rPr>
      <w:i/>
    </w:rPr>
  </w:style>
  <w:style w:type="paragraph" w:styleId="Caption">
    <w:name w:val="caption"/>
    <w:basedOn w:val="BodyText"/>
    <w:next w:val="Normal"/>
    <w:qFormat/>
    <w:rsid w:val="00031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2D2"/>
  </w:style>
  <w:style w:type="paragraph" w:styleId="TableofFigures">
    <w:name w:val="table of figures"/>
    <w:basedOn w:val="Normal"/>
    <w:next w:val="Normal"/>
    <w:semiHidden/>
    <w:rsid w:val="00031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2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12D2"/>
    <w:rPr>
      <w:rFonts w:ascii="Wingdings" w:hAnsi="Wingdings"/>
    </w:rPr>
  </w:style>
  <w:style w:type="character" w:customStyle="1" w:styleId="HotSpot">
    <w:name w:val="HotSpot"/>
    <w:rsid w:val="000312D2"/>
    <w:rPr>
      <w:color w:val="0033CC"/>
      <w:u w:val="none"/>
    </w:rPr>
  </w:style>
  <w:style w:type="paragraph" w:customStyle="1" w:styleId="BodyTextRight">
    <w:name w:val="Body Text Right"/>
    <w:basedOn w:val="BodyText"/>
    <w:rsid w:val="00031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2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2D2"/>
    <w:rPr>
      <w:sz w:val="32"/>
    </w:rPr>
  </w:style>
  <w:style w:type="paragraph" w:customStyle="1" w:styleId="HeadingProcedure">
    <w:name w:val="Heading Procedure"/>
    <w:basedOn w:val="HeadingBase"/>
    <w:next w:val="Normal"/>
    <w:rsid w:val="00031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2D2"/>
    <w:pPr>
      <w:spacing w:before="60" w:after="60"/>
    </w:pPr>
  </w:style>
  <w:style w:type="paragraph" w:styleId="ListContinue">
    <w:name w:val="List Continue"/>
    <w:basedOn w:val="List"/>
    <w:rsid w:val="000312D2"/>
    <w:pPr>
      <w:ind w:firstLine="0"/>
    </w:pPr>
  </w:style>
  <w:style w:type="paragraph" w:customStyle="1" w:styleId="ListNote">
    <w:name w:val="List Note"/>
    <w:basedOn w:val="List"/>
    <w:rsid w:val="00031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2D2"/>
    <w:rPr>
      <w:rFonts w:ascii="Courier New" w:hAnsi="Courier New"/>
    </w:rPr>
  </w:style>
  <w:style w:type="paragraph" w:customStyle="1" w:styleId="NoteBullet">
    <w:name w:val="Note Bullet"/>
    <w:basedOn w:val="Note"/>
    <w:rsid w:val="00031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2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1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2D2"/>
    <w:rPr>
      <w:b/>
      <w:smallCaps/>
    </w:rPr>
  </w:style>
  <w:style w:type="paragraph" w:customStyle="1" w:styleId="TableListNumber">
    <w:name w:val="Table List Number"/>
    <w:basedOn w:val="ListNumber"/>
    <w:rsid w:val="00031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2D2"/>
    <w:pPr>
      <w:numPr>
        <w:numId w:val="8"/>
      </w:numPr>
    </w:pPr>
  </w:style>
  <w:style w:type="paragraph" w:customStyle="1" w:styleId="ListAlpha2">
    <w:name w:val="List Alpha 2"/>
    <w:basedOn w:val="List2"/>
    <w:rsid w:val="000312D2"/>
    <w:pPr>
      <w:numPr>
        <w:numId w:val="7"/>
      </w:numPr>
    </w:pPr>
  </w:style>
  <w:style w:type="paragraph" w:styleId="List2">
    <w:name w:val="List 2"/>
    <w:basedOn w:val="BodyText"/>
    <w:rsid w:val="00031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2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2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12D2"/>
    <w:pPr>
      <w:numPr>
        <w:numId w:val="3"/>
      </w:numPr>
    </w:pPr>
  </w:style>
  <w:style w:type="paragraph" w:styleId="ListContinue2">
    <w:name w:val="List Continue 2"/>
    <w:basedOn w:val="List2"/>
    <w:rsid w:val="000312D2"/>
    <w:pPr>
      <w:ind w:firstLine="0"/>
    </w:pPr>
  </w:style>
  <w:style w:type="paragraph" w:styleId="ListContinue3">
    <w:name w:val="List Continue 3"/>
    <w:basedOn w:val="List3"/>
    <w:rsid w:val="000312D2"/>
    <w:pPr>
      <w:ind w:left="1021" w:firstLine="0"/>
    </w:pPr>
  </w:style>
  <w:style w:type="paragraph" w:styleId="ListContinue4">
    <w:name w:val="List Continue 4"/>
    <w:basedOn w:val="List4"/>
    <w:rsid w:val="000312D2"/>
    <w:pPr>
      <w:ind w:firstLine="0"/>
    </w:pPr>
  </w:style>
  <w:style w:type="paragraph" w:styleId="ListContinue5">
    <w:name w:val="List Continue 5"/>
    <w:basedOn w:val="List5"/>
    <w:rsid w:val="000312D2"/>
    <w:pPr>
      <w:ind w:firstLine="0"/>
    </w:pPr>
  </w:style>
  <w:style w:type="paragraph" w:styleId="ListNumber3">
    <w:name w:val="List Number 3"/>
    <w:basedOn w:val="List3"/>
    <w:rsid w:val="000312D2"/>
    <w:pPr>
      <w:numPr>
        <w:numId w:val="4"/>
      </w:numPr>
    </w:pPr>
  </w:style>
  <w:style w:type="paragraph" w:styleId="ListNumber4">
    <w:name w:val="List Number 4"/>
    <w:basedOn w:val="List4"/>
    <w:rsid w:val="000312D2"/>
    <w:pPr>
      <w:numPr>
        <w:numId w:val="5"/>
      </w:numPr>
    </w:pPr>
  </w:style>
  <w:style w:type="paragraph" w:styleId="ListNumber5">
    <w:name w:val="List Number 5"/>
    <w:basedOn w:val="List5"/>
    <w:rsid w:val="000312D2"/>
    <w:pPr>
      <w:numPr>
        <w:numId w:val="6"/>
      </w:numPr>
    </w:pPr>
  </w:style>
  <w:style w:type="paragraph" w:styleId="BlockText">
    <w:name w:val="Block Text"/>
    <w:basedOn w:val="Normal"/>
    <w:rsid w:val="00031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2D2"/>
    <w:rPr>
      <w:sz w:val="16"/>
      <w:vertAlign w:val="superscript"/>
    </w:rPr>
  </w:style>
  <w:style w:type="character" w:customStyle="1" w:styleId="Symbols">
    <w:name w:val="Symbols"/>
    <w:basedOn w:val="DefaultParagraphFont"/>
    <w:rsid w:val="000312D2"/>
    <w:rPr>
      <w:rFonts w:ascii="Symbol" w:hAnsi="Symbol"/>
    </w:rPr>
  </w:style>
  <w:style w:type="character" w:customStyle="1" w:styleId="MenuOptions">
    <w:name w:val="Menu Options"/>
    <w:basedOn w:val="DefaultParagraphFont"/>
    <w:rsid w:val="00031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2D2"/>
    <w:rPr>
      <w:b/>
    </w:rPr>
  </w:style>
  <w:style w:type="character" w:customStyle="1" w:styleId="Underlined">
    <w:name w:val="Underlined"/>
    <w:basedOn w:val="DefaultParagraphFont"/>
    <w:rsid w:val="000312D2"/>
    <w:rPr>
      <w:u w:val="single"/>
    </w:rPr>
  </w:style>
  <w:style w:type="paragraph" w:customStyle="1" w:styleId="TableBodyTextRight">
    <w:name w:val="Table Body Text Right"/>
    <w:basedOn w:val="TableBodyText"/>
    <w:rsid w:val="00031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2D2"/>
    <w:rPr>
      <w:sz w:val="18"/>
    </w:rPr>
  </w:style>
  <w:style w:type="paragraph" w:customStyle="1" w:styleId="BodySmallRight">
    <w:name w:val="Body Small Right"/>
    <w:basedOn w:val="BodyTextRight"/>
    <w:rsid w:val="000312D2"/>
    <w:rPr>
      <w:sz w:val="18"/>
      <w:szCs w:val="18"/>
    </w:rPr>
  </w:style>
  <w:style w:type="paragraph" w:customStyle="1" w:styleId="MarginEdition">
    <w:name w:val="Margin Edition"/>
    <w:basedOn w:val="MarginNote"/>
    <w:rsid w:val="00031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2D2"/>
    <w:rPr>
      <w:sz w:val="2"/>
      <w:szCs w:val="2"/>
    </w:rPr>
  </w:style>
  <w:style w:type="character" w:customStyle="1" w:styleId="Small">
    <w:name w:val="Small"/>
    <w:basedOn w:val="DefaultParagraphFont"/>
    <w:rsid w:val="000312D2"/>
    <w:rPr>
      <w:sz w:val="16"/>
    </w:rPr>
  </w:style>
  <w:style w:type="paragraph" w:customStyle="1" w:styleId="WideTable">
    <w:name w:val="Wide Table"/>
    <w:basedOn w:val="Normal"/>
    <w:rsid w:val="00031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2D2"/>
  </w:style>
  <w:style w:type="paragraph" w:styleId="Quote">
    <w:name w:val="Quote"/>
    <w:basedOn w:val="Heading1"/>
    <w:link w:val="QuoteChar"/>
    <w:qFormat/>
    <w:rsid w:val="00031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2D2"/>
    <w:pPr>
      <w:pageBreakBefore/>
    </w:pPr>
  </w:style>
  <w:style w:type="paragraph" w:customStyle="1" w:styleId="Border">
    <w:name w:val="Border"/>
    <w:basedOn w:val="Normal"/>
    <w:qFormat/>
    <w:rsid w:val="00031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2D2"/>
    <w:rPr>
      <w:u w:val="single"/>
    </w:rPr>
  </w:style>
  <w:style w:type="character" w:customStyle="1" w:styleId="BoldandItalics">
    <w:name w:val="Bold and Italics"/>
    <w:qFormat/>
    <w:rsid w:val="000312D2"/>
    <w:rPr>
      <w:b/>
      <w:i/>
      <w:u w:val="none"/>
    </w:rPr>
  </w:style>
  <w:style w:type="paragraph" w:styleId="BalloonText">
    <w:name w:val="Balloon Text"/>
    <w:basedOn w:val="Normal"/>
    <w:link w:val="BalloonTextChar"/>
    <w:rsid w:val="00031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2D2"/>
    <w:pPr>
      <w:spacing w:before="0" w:after="0"/>
    </w:pPr>
  </w:style>
  <w:style w:type="paragraph" w:customStyle="1" w:styleId="BodyTextBold">
    <w:name w:val="Body Text Bold"/>
    <w:basedOn w:val="BodyText"/>
    <w:qFormat/>
    <w:rsid w:val="000312D2"/>
    <w:rPr>
      <w:b/>
    </w:rPr>
  </w:style>
  <w:style w:type="character" w:styleId="Hyperlink">
    <w:name w:val="Hyperlink"/>
    <w:basedOn w:val="DefaultParagraphFont"/>
    <w:uiPriority w:val="99"/>
    <w:unhideWhenUsed/>
    <w:rsid w:val="00834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2563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PSPREG011 Give evidence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