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64D" w:rsidP="00D056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PSPPCM012 Plan for procurement outcomes</w:t>
      </w:r>
      <w:r>
        <w:fldChar w:fldCharType="end"/>
      </w:r>
    </w:p>
    <w:p w:rsidR="00D0564D" w:rsidP="00D0564D">
      <w:pPr>
        <w:pStyle w:val="Version"/>
        <w:sectPr w:rsidSect="002A0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E62" w:rsidP="002A0E62">
      <w:pPr>
        <w:pStyle w:val="SuperHeading"/>
      </w:pPr>
      <w:r w:rsidRPr="002A0E62">
        <w:t>Assessment Requirements for PSPPCM012 Plan for procurement outcomes</w:t>
      </w:r>
    </w:p>
    <w:p w:rsidR="00000000" w:rsidRPr="002A0E62" w:rsidP="002A0E62">
      <w:pPr>
        <w:pStyle w:val="Heading1"/>
      </w:pPr>
      <w:bookmarkStart w:id="1" w:name="O_824611"/>
      <w:bookmarkEnd w:id="1"/>
      <w:r w:rsidRPr="002A0E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0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62">
            <w:pPr>
              <w:pStyle w:val="TableHeading"/>
              <w:rPr>
                <w:lang w:val="en-NZ"/>
              </w:rPr>
            </w:pPr>
            <w:r w:rsidRPr="002A0E6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62">
            <w:pPr>
              <w:pStyle w:val="TableHeading"/>
              <w:rPr>
                <w:lang w:val="en-NZ"/>
              </w:rPr>
            </w:pPr>
            <w:r w:rsidRPr="002A0E62">
              <w:t>Comments</w:t>
            </w:r>
          </w:p>
        </w:tc>
      </w:tr>
      <w:tr w:rsidTr="00D0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62">
            <w:pPr>
              <w:pStyle w:val="BodyText"/>
              <w:rPr>
                <w:lang w:val="en-NZ"/>
              </w:rPr>
            </w:pPr>
            <w:r w:rsidRPr="002A0E6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E62" w:rsidP="002A0E62">
            <w:pPr>
              <w:pStyle w:val="BodyText"/>
            </w:pPr>
            <w:r w:rsidRPr="002A0E62">
              <w:t xml:space="preserve">These Assessment Requirements were released in PSP Public Sector Training Package release 1.0 and meet the Standards for Training Packages. </w:t>
            </w:r>
          </w:p>
          <w:p w:rsidR="00000000" w:rsidRPr="002A0E62" w:rsidP="002A0E62">
            <w:pPr>
              <w:pStyle w:val="BodyText"/>
            </w:pPr>
          </w:p>
          <w:p w:rsidR="00000000" w:rsidRPr="002A0E62" w:rsidP="002A0E62">
            <w:pPr>
              <w:pStyle w:val="ListBullet"/>
            </w:pPr>
            <w:r w:rsidRPr="002A0E62">
              <w:t>Assessment Requirements created drawing upon specified assessment information from superseded unit</w:t>
            </w:r>
          </w:p>
        </w:tc>
      </w:tr>
    </w:tbl>
    <w:p w:rsidR="00000000" w:rsidRPr="002A0E62" w:rsidP="002A0E62">
      <w:pPr>
        <w:pStyle w:val="BodyText"/>
      </w:pPr>
    </w:p>
    <w:p w:rsidR="00000000" w:rsidRPr="002A0E62" w:rsidP="002A0E62">
      <w:pPr>
        <w:pStyle w:val="AllowPageBreak"/>
      </w:pPr>
    </w:p>
    <w:p w:rsidR="00000000" w:rsidRPr="002A0E62" w:rsidP="002A0E62">
      <w:pPr>
        <w:pStyle w:val="Heading1"/>
      </w:pPr>
      <w:bookmarkStart w:id="2" w:name="O_824612"/>
      <w:bookmarkEnd w:id="2"/>
      <w:r w:rsidRPr="002A0E62">
        <w:t>Performance Evidence</w:t>
      </w:r>
    </w:p>
    <w:p w:rsidR="00000000" w:rsidRPr="002A0E62" w:rsidP="00D0564D">
      <w:pPr>
        <w:pStyle w:val="BodyText"/>
      </w:pPr>
      <w:r w:rsidRPr="002A0E62">
        <w:t xml:space="preserve">Evidence required to demonstrate competence must satisfy all of the requirements of the elements and performance criteria. If not otherwise specified </w:t>
      </w:r>
      <w:r w:rsidRPr="002A0E62">
        <w:t>the candidate must demonstrate evidence of performance of the following on at least one occasion.</w:t>
      </w:r>
    </w:p>
    <w:p w:rsidR="00000000" w:rsidRPr="002A0E62" w:rsidP="002A0E62">
      <w:pPr>
        <w:pStyle w:val="ListBullet"/>
      </w:pPr>
      <w:r w:rsidRPr="002A0E62">
        <w:t>networking, consulting and negotiating with contractors and stakeholders</w:t>
      </w:r>
    </w:p>
    <w:p w:rsidR="00000000" w:rsidRPr="002A0E62" w:rsidP="002A0E62">
      <w:pPr>
        <w:pStyle w:val="ListBullet"/>
      </w:pPr>
      <w:r w:rsidRPr="002A0E62">
        <w:t>writing a business case</w:t>
      </w:r>
    </w:p>
    <w:p w:rsidR="00000000" w:rsidRPr="002A0E62" w:rsidP="002A0E62">
      <w:pPr>
        <w:pStyle w:val="ListBullet"/>
      </w:pPr>
      <w:r w:rsidRPr="002A0E62">
        <w:t>reading and applying complex documents, including contracts,</w:t>
      </w:r>
      <w:r w:rsidRPr="002A0E62">
        <w:t xml:space="preserve"> legislation and guidelines</w:t>
      </w:r>
    </w:p>
    <w:p w:rsidR="00000000" w:rsidRPr="002A0E62" w:rsidP="002A0E62">
      <w:pPr>
        <w:pStyle w:val="ListBullet"/>
      </w:pPr>
      <w:r w:rsidRPr="002A0E62">
        <w:t>providing feedback</w:t>
      </w:r>
    </w:p>
    <w:p w:rsidR="00000000" w:rsidRPr="002A0E62" w:rsidP="002A0E62">
      <w:pPr>
        <w:pStyle w:val="ListBullet"/>
      </w:pPr>
      <w:r w:rsidRPr="002A0E62">
        <w:t>modelling effective team management approaches</w:t>
      </w:r>
    </w:p>
    <w:p w:rsidR="00000000" w:rsidRPr="002A0E62" w:rsidP="002A0E62">
      <w:pPr>
        <w:pStyle w:val="ListBullet"/>
      </w:pPr>
      <w:r w:rsidRPr="002A0E62">
        <w:t>referring issues to the correct person</w:t>
      </w:r>
    </w:p>
    <w:p w:rsidR="00000000" w:rsidRPr="002A0E62" w:rsidP="002A0E62">
      <w:pPr>
        <w:pStyle w:val="ListBullet"/>
      </w:pPr>
      <w:r w:rsidRPr="002A0E62">
        <w:t>resolving complicated procurement issues</w:t>
      </w:r>
    </w:p>
    <w:p w:rsidR="00000000" w:rsidRPr="002A0E62" w:rsidP="002A0E62">
      <w:pPr>
        <w:pStyle w:val="ListBullet"/>
      </w:pPr>
      <w:r w:rsidRPr="002A0E62">
        <w:t>developing options for inclusion in a business case</w:t>
      </w:r>
    </w:p>
    <w:p w:rsidR="00000000" w:rsidRPr="002A0E62" w:rsidP="002A0E62">
      <w:pPr>
        <w:pStyle w:val="ListBullet"/>
      </w:pPr>
      <w:r w:rsidRPr="002A0E62">
        <w:t>undertaking research and busin</w:t>
      </w:r>
      <w:r w:rsidRPr="002A0E62">
        <w:t>ess analysis</w:t>
      </w:r>
    </w:p>
    <w:p w:rsidR="00000000" w:rsidRPr="002A0E62" w:rsidP="002A0E62">
      <w:pPr>
        <w:pStyle w:val="ListBullet"/>
      </w:pPr>
      <w:r w:rsidRPr="002A0E62">
        <w:t>planning procurement processes in alignment with business and organisational goals</w:t>
      </w:r>
    </w:p>
    <w:p w:rsidR="00000000" w:rsidRPr="002A0E62" w:rsidP="002A0E62">
      <w:pPr>
        <w:pStyle w:val="ListBullet"/>
      </w:pPr>
      <w:r w:rsidRPr="002A0E62">
        <w:t>documenting procurement planning decisions and expected outcomes</w:t>
      </w:r>
    </w:p>
    <w:p w:rsidR="00000000" w:rsidRPr="002A0E62" w:rsidP="002A0E62">
      <w:pPr>
        <w:pStyle w:val="ListBullet"/>
      </w:pPr>
      <w:r w:rsidRPr="002A0E62">
        <w:t>managing and updating the procurement plan and sub-plans</w:t>
      </w:r>
    </w:p>
    <w:p w:rsidR="00000000" w:rsidRPr="002A0E62" w:rsidP="002A0E62">
      <w:pPr>
        <w:pStyle w:val="ListBullet"/>
      </w:pPr>
      <w:r w:rsidRPr="002A0E62">
        <w:t xml:space="preserve">maintaining currency in best practice </w:t>
      </w:r>
      <w:r w:rsidRPr="002A0E62">
        <w:t>examples in procurement practice and relevant procurement legislation, policies and procedures</w:t>
      </w:r>
    </w:p>
    <w:p w:rsidR="00000000" w:rsidRPr="002A0E62" w:rsidP="002A0E62">
      <w:pPr>
        <w:pStyle w:val="ListBullet"/>
      </w:pPr>
      <w:r w:rsidRPr="002A0E62">
        <w:t>using electronic procurement templates</w:t>
      </w:r>
    </w:p>
    <w:p w:rsidR="00000000" w:rsidRPr="002A0E62" w:rsidP="002A0E62">
      <w:pPr>
        <w:pStyle w:val="AllowPageBreak"/>
      </w:pPr>
    </w:p>
    <w:p w:rsidR="00000000" w:rsidRPr="002A0E62" w:rsidP="002A0E62">
      <w:pPr>
        <w:pStyle w:val="Heading1"/>
      </w:pPr>
      <w:bookmarkStart w:id="3" w:name="O_824613"/>
      <w:bookmarkEnd w:id="3"/>
      <w:r w:rsidRPr="002A0E62">
        <w:t>Knowledge Evidence</w:t>
      </w:r>
    </w:p>
    <w:p w:rsidR="00000000" w:rsidRPr="002A0E62" w:rsidP="00D0564D">
      <w:pPr>
        <w:pStyle w:val="BodyText"/>
      </w:pPr>
      <w:r w:rsidRPr="002A0E62">
        <w:t>Evidence required to demonstrate competence must satisfy all of the requirements of th</w:t>
      </w:r>
      <w:r w:rsidRPr="002A0E62">
        <w:t>e elements and performance criteria. If not otherwise specified the depth of knowledge demonstrated must be appropriate to the job context of the candidate.</w:t>
      </w:r>
    </w:p>
    <w:p w:rsidR="00000000" w:rsidRPr="002A0E62" w:rsidP="002A0E62">
      <w:pPr>
        <w:pStyle w:val="ListBullet"/>
      </w:pPr>
      <w:r w:rsidRPr="002A0E62">
        <w:t>Commonwealth, state or territory, and local government legislation, policies, practices and guidel</w:t>
      </w:r>
      <w:r w:rsidRPr="002A0E62">
        <w:t>ines relating to contract management, including environmental purchasing and corporate social responsibility guidance</w:t>
      </w:r>
    </w:p>
    <w:p w:rsidR="00000000" w:rsidRPr="002A0E62" w:rsidP="002A0E62">
      <w:pPr>
        <w:pStyle w:val="ListBullet"/>
      </w:pPr>
      <w:r w:rsidRPr="002A0E62">
        <w:t>organisational procurement policies, practices and approval processes</w:t>
      </w:r>
    </w:p>
    <w:p w:rsidR="00000000" w:rsidRPr="002A0E62" w:rsidP="002A0E62">
      <w:pPr>
        <w:pStyle w:val="ListBullet"/>
      </w:pPr>
      <w:r w:rsidRPr="002A0E62">
        <w:t>procurement planning for complex procurement requirements and associ</w:t>
      </w:r>
      <w:r w:rsidRPr="002A0E62">
        <w:t>ated outcomes in alignment with business and organisational goals</w:t>
      </w:r>
    </w:p>
    <w:p w:rsidR="00000000" w:rsidRPr="002A0E62" w:rsidP="002A0E62">
      <w:pPr>
        <w:pStyle w:val="ListBullet"/>
      </w:pPr>
      <w:r w:rsidRPr="002A0E62">
        <w:t>probity principles and issues</w:t>
      </w:r>
    </w:p>
    <w:p w:rsidR="00000000" w:rsidRPr="002A0E62" w:rsidP="002A0E62">
      <w:pPr>
        <w:pStyle w:val="ListBullet"/>
      </w:pPr>
      <w:r w:rsidRPr="002A0E62">
        <w:t>codes of conduct, codes of practice and standards of individual behaviour relating to the procurement process</w:t>
      </w:r>
    </w:p>
    <w:p w:rsidR="00000000" w:rsidRPr="002A0E62" w:rsidP="002A0E62">
      <w:pPr>
        <w:pStyle w:val="ListBullet"/>
      </w:pPr>
      <w:r w:rsidRPr="002A0E62">
        <w:t>government procurement environment</w:t>
      </w:r>
    </w:p>
    <w:p w:rsidR="00000000" w:rsidRPr="002A0E62" w:rsidP="002A0E62">
      <w:pPr>
        <w:pStyle w:val="ListBullet"/>
      </w:pPr>
      <w:r w:rsidRPr="002A0E62">
        <w:t>legal requirements of government procurement</w:t>
      </w:r>
    </w:p>
    <w:p w:rsidR="00000000" w:rsidRPr="002A0E62" w:rsidP="002A0E62">
      <w:pPr>
        <w:pStyle w:val="ListBullet"/>
      </w:pPr>
      <w:r w:rsidRPr="002A0E62">
        <w:t>implications of particular procurement arrangements</w:t>
      </w:r>
    </w:p>
    <w:p w:rsidR="00000000" w:rsidRPr="002A0E62" w:rsidP="002A0E62">
      <w:pPr>
        <w:pStyle w:val="ListBullet"/>
      </w:pPr>
      <w:r w:rsidRPr="002A0E62">
        <w:t>whole-of-life considerations</w:t>
      </w:r>
    </w:p>
    <w:p w:rsidR="00000000" w:rsidRPr="002A0E62" w:rsidP="002A0E62">
      <w:pPr>
        <w:pStyle w:val="ListBullet"/>
      </w:pPr>
      <w:r w:rsidRPr="002A0E62">
        <w:t>financial and accounting issues relevant to the procurement</w:t>
      </w:r>
    </w:p>
    <w:p w:rsidR="00000000" w:rsidRPr="002A0E62" w:rsidP="002A0E62">
      <w:pPr>
        <w:pStyle w:val="ListBullet"/>
      </w:pPr>
      <w:r w:rsidRPr="002A0E62">
        <w:t>cultural issues relating to complex procurement and industry developme</w:t>
      </w:r>
      <w:r w:rsidRPr="002A0E62">
        <w:t>nt in certain industry sectors</w:t>
      </w:r>
    </w:p>
    <w:p w:rsidR="00000000" w:rsidRPr="002A0E62" w:rsidP="002A0E62">
      <w:pPr>
        <w:pStyle w:val="ListBullet"/>
      </w:pPr>
      <w:r w:rsidRPr="002A0E62">
        <w:t>relationship management</w:t>
      </w:r>
    </w:p>
    <w:p w:rsidR="00000000" w:rsidRPr="002A0E62" w:rsidP="002A0E62">
      <w:pPr>
        <w:pStyle w:val="AllowPageBreak"/>
      </w:pPr>
    </w:p>
    <w:p w:rsidR="00000000" w:rsidRPr="002A0E62" w:rsidP="002A0E62">
      <w:pPr>
        <w:pStyle w:val="Heading1"/>
      </w:pPr>
      <w:bookmarkStart w:id="4" w:name="O_824614"/>
      <w:bookmarkEnd w:id="4"/>
      <w:r w:rsidRPr="002A0E62">
        <w:t>Assessment Conditions</w:t>
      </w:r>
    </w:p>
    <w:p w:rsidR="00000000" w:rsidRPr="002A0E62" w:rsidP="00D0564D">
      <w:pPr>
        <w:pStyle w:val="BodyText"/>
      </w:pPr>
      <w:r w:rsidRPr="002A0E62">
        <w:t>This unit contains no specific industry-mandated assessment conditions. Guidance on suggested and recommended conditions and methods can be found in the Implement</w:t>
      </w:r>
      <w:r w:rsidRPr="002A0E62">
        <w:t>ation Guide.</w:t>
      </w:r>
    </w:p>
    <w:p w:rsidR="00000000" w:rsidRPr="002A0E62" w:rsidP="00D0564D">
      <w:pPr>
        <w:pStyle w:val="BodyText"/>
      </w:pPr>
      <w:r w:rsidRPr="002A0E62">
        <w:t>Assessors must satisfy the NVR/AQTF mandatory competency requirements for assessors.</w:t>
      </w:r>
    </w:p>
    <w:p w:rsidR="00000000" w:rsidRPr="002A0E62" w:rsidP="002A0E62">
      <w:pPr>
        <w:pStyle w:val="Heading1"/>
      </w:pPr>
      <w:bookmarkStart w:id="5" w:name="O_824617"/>
      <w:bookmarkEnd w:id="5"/>
      <w:r w:rsidRPr="002A0E62">
        <w:t>Links</w:t>
      </w:r>
    </w:p>
    <w:p w:rsidR="00000000" w:rsidRPr="002A0E62" w:rsidP="00D0564D">
      <w:pPr>
        <w:pStyle w:val="BodyText"/>
      </w:pPr>
      <w:r w:rsidRPr="002A0E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187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A0E62" w:rsidP="00D0564D">
      <w:pPr>
        <w:pStyle w:val="BodyText"/>
      </w:pPr>
      <w:r w:rsidRPr="002A0E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187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A0E62" w:rsidP="00D0564D">
      <w:pPr>
        <w:pStyle w:val="BodyText"/>
      </w:pPr>
      <w:r w:rsidRPr="002A0E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187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A0E62" w:rsidP="002A0E62"/>
    <w:sectPr w:rsidSect="002A0E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62" w:rsidRPr="00D0564D" w:rsidP="00D056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4D" w:rsidP="002A0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564D" w:rsidP="002A0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0564D" w:rsidP="002A0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E62" w:rsidRPr="00D0564D" w:rsidP="00D056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4D" w:rsidRPr="002D2AF8" w:rsidP="002A0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PSPPCM012 Plan for procurement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0564D" w:rsidP="002A0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B41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72C1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E62"/>
  </w:style>
  <w:style w:type="character" w:customStyle="1" w:styleId="Heading1Char">
    <w:name w:val="Heading 1 Char"/>
    <w:basedOn w:val="DefaultParagraphFont"/>
    <w:link w:val="Heading1"/>
    <w:rsid w:val="002A0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E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E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A0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0E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0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E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E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0E62"/>
    <w:rPr>
      <w:b/>
      <w:spacing w:val="0"/>
    </w:rPr>
  </w:style>
  <w:style w:type="paragraph" w:customStyle="1" w:styleId="SuperTitle">
    <w:name w:val="SuperTitle"/>
    <w:basedOn w:val="Title"/>
    <w:rsid w:val="002A0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E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E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E62"/>
    <w:rPr>
      <w:i/>
    </w:rPr>
  </w:style>
  <w:style w:type="paragraph" w:styleId="Caption">
    <w:name w:val="caption"/>
    <w:basedOn w:val="BodyText"/>
    <w:next w:val="Normal"/>
    <w:qFormat/>
    <w:rsid w:val="002A0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E62"/>
  </w:style>
  <w:style w:type="paragraph" w:styleId="TableofFigures">
    <w:name w:val="table of figures"/>
    <w:basedOn w:val="Normal"/>
    <w:next w:val="Normal"/>
    <w:semiHidden/>
    <w:rsid w:val="002A0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E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0E62"/>
    <w:rPr>
      <w:rFonts w:ascii="Wingdings" w:hAnsi="Wingdings"/>
    </w:rPr>
  </w:style>
  <w:style w:type="character" w:customStyle="1" w:styleId="HotSpot">
    <w:name w:val="HotSpot"/>
    <w:rsid w:val="002A0E62"/>
    <w:rPr>
      <w:color w:val="0033CC"/>
      <w:u w:val="none"/>
    </w:rPr>
  </w:style>
  <w:style w:type="paragraph" w:customStyle="1" w:styleId="BodyTextRight">
    <w:name w:val="Body Text Right"/>
    <w:basedOn w:val="BodyText"/>
    <w:rsid w:val="002A0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E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E62"/>
    <w:rPr>
      <w:sz w:val="32"/>
    </w:rPr>
  </w:style>
  <w:style w:type="paragraph" w:customStyle="1" w:styleId="HeadingProcedure">
    <w:name w:val="Heading Procedure"/>
    <w:basedOn w:val="HeadingBase"/>
    <w:next w:val="Normal"/>
    <w:rsid w:val="002A0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E62"/>
    <w:pPr>
      <w:spacing w:before="60" w:after="60"/>
    </w:pPr>
  </w:style>
  <w:style w:type="paragraph" w:styleId="ListContinue">
    <w:name w:val="List Continue"/>
    <w:basedOn w:val="List"/>
    <w:rsid w:val="002A0E62"/>
    <w:pPr>
      <w:ind w:firstLine="0"/>
    </w:pPr>
  </w:style>
  <w:style w:type="paragraph" w:customStyle="1" w:styleId="ListNote">
    <w:name w:val="List Note"/>
    <w:basedOn w:val="List"/>
    <w:rsid w:val="002A0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E62"/>
    <w:rPr>
      <w:rFonts w:ascii="Courier New" w:hAnsi="Courier New"/>
    </w:rPr>
  </w:style>
  <w:style w:type="paragraph" w:customStyle="1" w:styleId="NoteBullet">
    <w:name w:val="Note Bullet"/>
    <w:basedOn w:val="Note"/>
    <w:rsid w:val="002A0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E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0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E62"/>
    <w:rPr>
      <w:b/>
      <w:smallCaps/>
    </w:rPr>
  </w:style>
  <w:style w:type="paragraph" w:customStyle="1" w:styleId="TableListNumber">
    <w:name w:val="Table List Number"/>
    <w:basedOn w:val="ListNumber"/>
    <w:rsid w:val="002A0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E62"/>
    <w:pPr>
      <w:numPr>
        <w:numId w:val="8"/>
      </w:numPr>
    </w:pPr>
  </w:style>
  <w:style w:type="paragraph" w:customStyle="1" w:styleId="ListAlpha2">
    <w:name w:val="List Alpha 2"/>
    <w:basedOn w:val="List2"/>
    <w:rsid w:val="002A0E62"/>
    <w:pPr>
      <w:numPr>
        <w:numId w:val="7"/>
      </w:numPr>
    </w:pPr>
  </w:style>
  <w:style w:type="paragraph" w:styleId="List2">
    <w:name w:val="List 2"/>
    <w:basedOn w:val="BodyText"/>
    <w:rsid w:val="002A0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E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E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0E62"/>
    <w:pPr>
      <w:numPr>
        <w:numId w:val="3"/>
      </w:numPr>
    </w:pPr>
  </w:style>
  <w:style w:type="paragraph" w:styleId="ListContinue2">
    <w:name w:val="List Continue 2"/>
    <w:basedOn w:val="List2"/>
    <w:rsid w:val="002A0E62"/>
    <w:pPr>
      <w:ind w:firstLine="0"/>
    </w:pPr>
  </w:style>
  <w:style w:type="paragraph" w:styleId="ListContinue3">
    <w:name w:val="List Continue 3"/>
    <w:basedOn w:val="List3"/>
    <w:rsid w:val="002A0E62"/>
    <w:pPr>
      <w:ind w:left="1021" w:firstLine="0"/>
    </w:pPr>
  </w:style>
  <w:style w:type="paragraph" w:styleId="ListContinue4">
    <w:name w:val="List Continue 4"/>
    <w:basedOn w:val="List4"/>
    <w:rsid w:val="002A0E62"/>
    <w:pPr>
      <w:ind w:firstLine="0"/>
    </w:pPr>
  </w:style>
  <w:style w:type="paragraph" w:styleId="ListContinue5">
    <w:name w:val="List Continue 5"/>
    <w:basedOn w:val="List5"/>
    <w:rsid w:val="002A0E62"/>
    <w:pPr>
      <w:ind w:firstLine="0"/>
    </w:pPr>
  </w:style>
  <w:style w:type="paragraph" w:styleId="ListNumber3">
    <w:name w:val="List Number 3"/>
    <w:basedOn w:val="List3"/>
    <w:rsid w:val="002A0E62"/>
    <w:pPr>
      <w:numPr>
        <w:numId w:val="4"/>
      </w:numPr>
    </w:pPr>
  </w:style>
  <w:style w:type="paragraph" w:styleId="ListNumber4">
    <w:name w:val="List Number 4"/>
    <w:basedOn w:val="List4"/>
    <w:rsid w:val="002A0E62"/>
    <w:pPr>
      <w:numPr>
        <w:numId w:val="5"/>
      </w:numPr>
    </w:pPr>
  </w:style>
  <w:style w:type="paragraph" w:styleId="ListNumber5">
    <w:name w:val="List Number 5"/>
    <w:basedOn w:val="List5"/>
    <w:rsid w:val="002A0E62"/>
    <w:pPr>
      <w:numPr>
        <w:numId w:val="6"/>
      </w:numPr>
    </w:pPr>
  </w:style>
  <w:style w:type="paragraph" w:styleId="BlockText">
    <w:name w:val="Block Text"/>
    <w:basedOn w:val="Normal"/>
    <w:rsid w:val="002A0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E62"/>
    <w:rPr>
      <w:sz w:val="16"/>
      <w:vertAlign w:val="superscript"/>
    </w:rPr>
  </w:style>
  <w:style w:type="character" w:customStyle="1" w:styleId="Symbols">
    <w:name w:val="Symbols"/>
    <w:basedOn w:val="DefaultParagraphFont"/>
    <w:rsid w:val="002A0E62"/>
    <w:rPr>
      <w:rFonts w:ascii="Symbol" w:hAnsi="Symbol"/>
    </w:rPr>
  </w:style>
  <w:style w:type="character" w:customStyle="1" w:styleId="MenuOptions">
    <w:name w:val="Menu Options"/>
    <w:basedOn w:val="DefaultParagraphFont"/>
    <w:rsid w:val="002A0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E62"/>
    <w:rPr>
      <w:b/>
    </w:rPr>
  </w:style>
  <w:style w:type="character" w:customStyle="1" w:styleId="Underlined">
    <w:name w:val="Underlined"/>
    <w:basedOn w:val="DefaultParagraphFont"/>
    <w:rsid w:val="002A0E62"/>
    <w:rPr>
      <w:u w:val="single"/>
    </w:rPr>
  </w:style>
  <w:style w:type="paragraph" w:customStyle="1" w:styleId="TableBodyTextRight">
    <w:name w:val="Table Body Text Right"/>
    <w:basedOn w:val="TableBodyText"/>
    <w:rsid w:val="002A0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E62"/>
    <w:rPr>
      <w:sz w:val="18"/>
    </w:rPr>
  </w:style>
  <w:style w:type="paragraph" w:customStyle="1" w:styleId="BodySmallRight">
    <w:name w:val="Body Small Right"/>
    <w:basedOn w:val="BodyTextRight"/>
    <w:rsid w:val="002A0E62"/>
    <w:rPr>
      <w:sz w:val="18"/>
      <w:szCs w:val="18"/>
    </w:rPr>
  </w:style>
  <w:style w:type="paragraph" w:customStyle="1" w:styleId="MarginEdition">
    <w:name w:val="Margin Edition"/>
    <w:basedOn w:val="MarginNote"/>
    <w:rsid w:val="002A0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E62"/>
    <w:rPr>
      <w:sz w:val="2"/>
      <w:szCs w:val="2"/>
    </w:rPr>
  </w:style>
  <w:style w:type="character" w:customStyle="1" w:styleId="Small">
    <w:name w:val="Small"/>
    <w:basedOn w:val="DefaultParagraphFont"/>
    <w:rsid w:val="002A0E62"/>
    <w:rPr>
      <w:sz w:val="16"/>
    </w:rPr>
  </w:style>
  <w:style w:type="paragraph" w:customStyle="1" w:styleId="WideTable">
    <w:name w:val="Wide Table"/>
    <w:basedOn w:val="Normal"/>
    <w:rsid w:val="002A0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E62"/>
  </w:style>
  <w:style w:type="paragraph" w:styleId="Quote">
    <w:name w:val="Quote"/>
    <w:basedOn w:val="Heading1"/>
    <w:link w:val="QuoteChar"/>
    <w:qFormat/>
    <w:rsid w:val="002A0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E62"/>
    <w:pPr>
      <w:pageBreakBefore/>
    </w:pPr>
  </w:style>
  <w:style w:type="paragraph" w:customStyle="1" w:styleId="Border">
    <w:name w:val="Border"/>
    <w:basedOn w:val="Normal"/>
    <w:qFormat/>
    <w:rsid w:val="002A0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E62"/>
    <w:rPr>
      <w:u w:val="single"/>
    </w:rPr>
  </w:style>
  <w:style w:type="character" w:customStyle="1" w:styleId="BoldandItalics">
    <w:name w:val="Bold and Italics"/>
    <w:qFormat/>
    <w:rsid w:val="002A0E62"/>
    <w:rPr>
      <w:b/>
      <w:i/>
      <w:u w:val="none"/>
    </w:rPr>
  </w:style>
  <w:style w:type="paragraph" w:styleId="BalloonText">
    <w:name w:val="Balloon Text"/>
    <w:basedOn w:val="Normal"/>
    <w:link w:val="BalloonTextChar"/>
    <w:rsid w:val="002A0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E62"/>
    <w:pPr>
      <w:spacing w:before="0" w:after="0"/>
    </w:pPr>
  </w:style>
  <w:style w:type="paragraph" w:customStyle="1" w:styleId="BodyTextBold">
    <w:name w:val="Body Text Bold"/>
    <w:basedOn w:val="BodyText"/>
    <w:qFormat/>
    <w:rsid w:val="002A0E62"/>
    <w:rPr>
      <w:b/>
    </w:rPr>
  </w:style>
  <w:style w:type="character" w:styleId="Hyperlink">
    <w:name w:val="Hyperlink"/>
    <w:basedOn w:val="DefaultParagraphFont"/>
    <w:uiPriority w:val="99"/>
    <w:unhideWhenUsed/>
    <w:rsid w:val="00D05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3334</Characters>
  <Application>Microsoft Office Word</Application>
  <DocSecurity>0</DocSecurity>
  <Lines>81</Lines>
  <Paragraphs>57</Paragraphs>
  <ScaleCrop>false</ScaleCrop>
  <Company>Author-it Software Corporation Ltd.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PSPPCM012 Plan for procurement outcomes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2024-11-07T11:58:00Z</dcterms:created>
  <dcterms:modified xsi:type="dcterms:W3CDTF">2024-11-07T11:58:00Z</dcterms:modified>
</cp:coreProperties>
</file>