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74A" w:rsidP="002A27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PSPMGT007 Manage risk</w:t>
      </w:r>
      <w:r>
        <w:fldChar w:fldCharType="end"/>
      </w:r>
    </w:p>
    <w:p w:rsidR="002A274A" w:rsidP="002A274A">
      <w:pPr>
        <w:pStyle w:val="Version"/>
        <w:sectPr w:rsidSect="004A2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B47" w:rsidP="004A2B47">
      <w:pPr>
        <w:pStyle w:val="SuperHeading"/>
      </w:pPr>
      <w:r w:rsidRPr="004A2B47">
        <w:t>Assessment Requirements for PSPMGT007 Manage risk</w:t>
      </w:r>
    </w:p>
    <w:p w:rsidR="00000000" w:rsidRPr="004A2B47" w:rsidP="004A2B47">
      <w:pPr>
        <w:pStyle w:val="Heading1"/>
      </w:pPr>
      <w:bookmarkStart w:id="1" w:name="O_822921"/>
      <w:bookmarkEnd w:id="1"/>
      <w:r w:rsidRPr="004A2B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A2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47">
            <w:pPr>
              <w:pStyle w:val="TableHeading"/>
              <w:rPr>
                <w:lang w:val="en-NZ"/>
              </w:rPr>
            </w:pPr>
            <w:r w:rsidRPr="004A2B4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47">
            <w:pPr>
              <w:pStyle w:val="TableHeading"/>
              <w:rPr>
                <w:lang w:val="en-NZ"/>
              </w:rPr>
            </w:pPr>
            <w:r w:rsidRPr="004A2B47">
              <w:t>Comments</w:t>
            </w:r>
          </w:p>
        </w:tc>
      </w:tr>
      <w:tr w:rsidTr="002A2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47">
            <w:pPr>
              <w:pStyle w:val="BodyText"/>
              <w:rPr>
                <w:lang w:val="en-NZ"/>
              </w:rPr>
            </w:pPr>
            <w:r w:rsidRPr="004A2B4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47" w:rsidP="004A2B47">
            <w:pPr>
              <w:pStyle w:val="BodyText"/>
            </w:pPr>
            <w:r w:rsidRPr="004A2B47">
              <w:t xml:space="preserve">These Assessment Requirements were released in PSP Public Sector Training Package release 1.0 and meet the Standards for Training Packages. </w:t>
            </w:r>
          </w:p>
          <w:p w:rsidR="00000000" w:rsidRPr="004A2B47" w:rsidP="004A2B47">
            <w:pPr>
              <w:pStyle w:val="BodyText"/>
            </w:pPr>
          </w:p>
          <w:p w:rsidR="00000000" w:rsidRPr="004A2B47" w:rsidP="004A2B47">
            <w:pPr>
              <w:pStyle w:val="ListBullet"/>
            </w:pPr>
            <w:r w:rsidRPr="004A2B47">
              <w:t>Assessment Requirements created drawing upon specified assessmen</w:t>
            </w:r>
            <w:r w:rsidRPr="004A2B47">
              <w:t>t information from superseded unit</w:t>
            </w:r>
          </w:p>
        </w:tc>
      </w:tr>
    </w:tbl>
    <w:p w:rsidR="002A274A" w:rsidP="004A2B47">
      <w:pPr>
        <w:pStyle w:val="BodyText"/>
      </w:pPr>
    </w:p>
    <w:p w:rsidR="002A274A" w:rsidP="004A2B47">
      <w:pPr>
        <w:pStyle w:val="BodyText"/>
      </w:pPr>
    </w:p>
    <w:p w:rsidR="00000000" w:rsidRPr="004A2B47" w:rsidP="004A2B47">
      <w:pPr>
        <w:pStyle w:val="Heading1"/>
      </w:pPr>
      <w:bookmarkStart w:id="2" w:name="O_822922"/>
      <w:bookmarkEnd w:id="2"/>
      <w:r w:rsidRPr="004A2B47">
        <w:t>Performance Evidence</w:t>
      </w:r>
    </w:p>
    <w:p w:rsidR="00000000" w:rsidRPr="004A2B47" w:rsidP="002A274A">
      <w:pPr>
        <w:pStyle w:val="BodyText"/>
      </w:pPr>
      <w:r w:rsidRPr="004A2B47">
        <w:t xml:space="preserve">Evidence required to demonstrate competence must satisfy all of the requirements of the elements and performance criteria. If not otherwise specified </w:t>
      </w:r>
      <w:r w:rsidRPr="004A2B47">
        <w:t>the candidate must demonstrate evidence of performance of the following on at least one occasion.</w:t>
      </w:r>
    </w:p>
    <w:p w:rsidR="00000000" w:rsidRPr="004A2B47" w:rsidP="004A2B47">
      <w:pPr>
        <w:pStyle w:val="ListBullet"/>
      </w:pPr>
      <w:r w:rsidRPr="004A2B47">
        <w:t xml:space="preserve">applying legislation, regulations and policies relating to risk management </w:t>
      </w:r>
    </w:p>
    <w:p w:rsidR="00000000" w:rsidRPr="004A2B47" w:rsidP="004A2B47">
      <w:pPr>
        <w:pStyle w:val="ListBullet"/>
      </w:pPr>
      <w:r w:rsidRPr="004A2B47">
        <w:t>researching and analysing the wider context affecting the organisation</w:t>
      </w:r>
    </w:p>
    <w:p w:rsidR="00000000" w:rsidRPr="004A2B47" w:rsidP="004A2B47">
      <w:pPr>
        <w:pStyle w:val="ListBullet"/>
      </w:pPr>
      <w:r w:rsidRPr="004A2B47">
        <w:t>using comm</w:t>
      </w:r>
      <w:r w:rsidRPr="004A2B47">
        <w:t>unication and consultation with a diverse range of stakeholders</w:t>
      </w:r>
    </w:p>
    <w:p w:rsidR="00000000" w:rsidRPr="004A2B47" w:rsidP="004A2B47">
      <w:pPr>
        <w:pStyle w:val="ListBullet"/>
      </w:pPr>
      <w:r w:rsidRPr="004A2B47">
        <w:t>applying problem solving using conceptual and reasoning skills</w:t>
      </w:r>
    </w:p>
    <w:p w:rsidR="00000000" w:rsidRPr="004A2B47" w:rsidP="004A2B47">
      <w:pPr>
        <w:pStyle w:val="ListBullet"/>
      </w:pPr>
      <w:r w:rsidRPr="004A2B47">
        <w:t xml:space="preserve">engaging in discussion using exchange of complex oral information </w:t>
      </w:r>
    </w:p>
    <w:p w:rsidR="00000000" w:rsidRPr="004A2B47" w:rsidP="004A2B47">
      <w:pPr>
        <w:pStyle w:val="ListBullet"/>
      </w:pPr>
      <w:r w:rsidRPr="004A2B47">
        <w:t>using a variety of words and language structures to explain co</w:t>
      </w:r>
      <w:r w:rsidRPr="004A2B47">
        <w:t xml:space="preserve">mplex, formal documents and assisting others to apply them in the workplace </w:t>
      </w:r>
    </w:p>
    <w:p w:rsidR="00000000" w:rsidRPr="004A2B47" w:rsidP="004A2B47">
      <w:pPr>
        <w:pStyle w:val="AllowPageBreak"/>
      </w:pPr>
    </w:p>
    <w:p w:rsidR="00000000" w:rsidRPr="004A2B47" w:rsidP="004A2B47">
      <w:pPr>
        <w:pStyle w:val="Heading1"/>
      </w:pPr>
      <w:bookmarkStart w:id="3" w:name="O_822923"/>
      <w:bookmarkEnd w:id="3"/>
      <w:r w:rsidRPr="004A2B47">
        <w:t>Knowledge Evidence</w:t>
      </w:r>
    </w:p>
    <w:p w:rsidR="00000000" w:rsidRPr="004A2B47" w:rsidP="002A274A">
      <w:pPr>
        <w:pStyle w:val="BodyText"/>
      </w:pPr>
      <w:r w:rsidRPr="004A2B47">
        <w:t>Evidence required to demonstrate competence must satisfy all of the requirements of the elements and performance criteria. If not otherwise spe</w:t>
      </w:r>
      <w:r w:rsidRPr="004A2B47">
        <w:t>cified the depth of knowledge demonstrated must be appropriate to the job context of the candidate.</w:t>
      </w:r>
    </w:p>
    <w:p w:rsidR="00000000" w:rsidRPr="004A2B47" w:rsidP="004A2B47">
      <w:pPr>
        <w:pStyle w:val="ListBullet"/>
      </w:pPr>
      <w:r w:rsidRPr="004A2B47">
        <w:t xml:space="preserve">legislation, regulations, policies, procedures and guidelines relating to risk management </w:t>
      </w:r>
    </w:p>
    <w:p w:rsidR="00000000" w:rsidRPr="004A2B47" w:rsidP="004A2B47">
      <w:pPr>
        <w:pStyle w:val="ListBullet"/>
      </w:pPr>
      <w:r w:rsidRPr="004A2B47">
        <w:t xml:space="preserve">Australian and New Zealand standards </w:t>
      </w:r>
    </w:p>
    <w:p w:rsidR="00000000" w:rsidRPr="004A2B47" w:rsidP="004A2B47">
      <w:pPr>
        <w:pStyle w:val="ListBullet"/>
      </w:pPr>
      <w:r w:rsidRPr="004A2B47">
        <w:t>Guidelines for managing ri</w:t>
      </w:r>
      <w:r w:rsidRPr="004A2B47">
        <w:t xml:space="preserve">sk in the Australian and New Zealand public sector </w:t>
      </w:r>
    </w:p>
    <w:p w:rsidR="00000000" w:rsidRPr="004A2B47" w:rsidP="004A2B47">
      <w:pPr>
        <w:pStyle w:val="ListBullet"/>
      </w:pPr>
      <w:r w:rsidRPr="004A2B47">
        <w:t>risk management cycle</w:t>
      </w:r>
    </w:p>
    <w:p w:rsidR="00000000" w:rsidRPr="004A2B47" w:rsidP="004A2B47">
      <w:pPr>
        <w:pStyle w:val="ListBullet"/>
      </w:pPr>
      <w:r w:rsidRPr="004A2B47">
        <w:t>the relationship of risk to context – how the context may define the risks</w:t>
      </w:r>
    </w:p>
    <w:p w:rsidR="00000000" w:rsidRPr="004A2B47" w:rsidP="004A2B47">
      <w:pPr>
        <w:pStyle w:val="ListBullet"/>
      </w:pPr>
      <w:r w:rsidRPr="004A2B47">
        <w:t>the importance of consultation and communication at every stage of the risk management cycle</w:t>
      </w:r>
    </w:p>
    <w:p w:rsidR="00000000" w:rsidRPr="004A2B47" w:rsidP="004A2B47">
      <w:pPr>
        <w:pStyle w:val="ListBullet"/>
      </w:pPr>
      <w:r w:rsidRPr="004A2B47">
        <w:t>legal requirem</w:t>
      </w:r>
      <w:r w:rsidRPr="004A2B47">
        <w:t>ents related to the activity</w:t>
      </w:r>
    </w:p>
    <w:p w:rsidR="00000000" w:rsidRPr="004A2B47" w:rsidP="004A2B47">
      <w:pPr>
        <w:pStyle w:val="ListBullet"/>
      </w:pPr>
      <w:r w:rsidRPr="004A2B47">
        <w:t>whole</w:t>
      </w:r>
      <w:r w:rsidRPr="004A2B47">
        <w:noBreakHyphen/>
        <w:t>of</w:t>
      </w:r>
      <w:r w:rsidRPr="004A2B47">
        <w:noBreakHyphen/>
        <w:t>life considerations</w:t>
      </w:r>
    </w:p>
    <w:p w:rsidR="00000000" w:rsidRPr="004A2B47" w:rsidP="004A2B47">
      <w:pPr>
        <w:pStyle w:val="ListBullet"/>
      </w:pPr>
      <w:r w:rsidRPr="004A2B47">
        <w:t>approval processes</w:t>
      </w:r>
    </w:p>
    <w:p w:rsidR="00000000" w:rsidRPr="004A2B47" w:rsidP="004A2B47">
      <w:pPr>
        <w:pStyle w:val="ListBullet"/>
      </w:pPr>
      <w:r w:rsidRPr="004A2B47">
        <w:t>range of evaluation methodologies</w:t>
      </w:r>
    </w:p>
    <w:p w:rsidR="00000000" w:rsidRPr="004A2B47" w:rsidP="004A2B47">
      <w:pPr>
        <w:pStyle w:val="ListBullet"/>
      </w:pPr>
      <w:r w:rsidRPr="004A2B47">
        <w:t>the diversity of risks in the public sector</w:t>
      </w:r>
    </w:p>
    <w:p w:rsidR="00000000" w:rsidRPr="004A2B47" w:rsidP="004A2B47">
      <w:pPr>
        <w:pStyle w:val="ListBullet"/>
      </w:pPr>
      <w:r w:rsidRPr="004A2B47">
        <w:t>public sector legislation, including work health and safety and environment in the context of risk management</w:t>
      </w:r>
    </w:p>
    <w:p w:rsidR="00000000" w:rsidRPr="004A2B47" w:rsidP="004A2B47">
      <w:pPr>
        <w:pStyle w:val="AllowPageBreak"/>
      </w:pPr>
    </w:p>
    <w:p w:rsidR="00000000" w:rsidRPr="004A2B47" w:rsidP="004A2B47">
      <w:pPr>
        <w:pStyle w:val="Heading1"/>
      </w:pPr>
      <w:bookmarkStart w:id="4" w:name="O_822924"/>
      <w:bookmarkEnd w:id="4"/>
      <w:r w:rsidRPr="004A2B47">
        <w:t>Assessment Conditions</w:t>
      </w:r>
    </w:p>
    <w:p w:rsidR="002A274A" w:rsidP="002A274A">
      <w:pPr>
        <w:pStyle w:val="BodyText"/>
      </w:pPr>
      <w:r w:rsidRPr="004A2B47">
        <w:t>This unit contains no specific industry-mandated assessment conditions. Guidance on suggested and recommend</w:t>
      </w:r>
      <w:r w:rsidRPr="004A2B47">
        <w:t xml:space="preserve">ed conditions and methods can be found in the Implementation Guide. </w:t>
      </w:r>
    </w:p>
    <w:p w:rsidR="00000000" w:rsidRPr="004A2B47" w:rsidP="002A274A">
      <w:pPr>
        <w:pStyle w:val="BodyText"/>
      </w:pPr>
      <w:r w:rsidRPr="004A2B47">
        <w:t>Assessors must satisfy the NVR/AQTF mandatory competency requirements for assessors.</w:t>
      </w:r>
    </w:p>
    <w:p w:rsidR="00000000" w:rsidRPr="004A2B47" w:rsidP="004A2B47">
      <w:pPr>
        <w:pStyle w:val="Heading1"/>
      </w:pPr>
      <w:bookmarkStart w:id="5" w:name="O_822927"/>
      <w:bookmarkEnd w:id="5"/>
      <w:r w:rsidRPr="004A2B47">
        <w:t>Links</w:t>
      </w:r>
    </w:p>
    <w:p w:rsidR="00000000" w:rsidRPr="004A2B47" w:rsidP="002A274A">
      <w:pPr>
        <w:pStyle w:val="BodyText"/>
      </w:pPr>
      <w:r w:rsidRPr="004A2B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75A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2B47" w:rsidP="002A274A">
      <w:pPr>
        <w:pStyle w:val="BodyText"/>
      </w:pPr>
      <w:r w:rsidRPr="004A2B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75A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2B47" w:rsidP="002A274A">
      <w:pPr>
        <w:pStyle w:val="BodyText"/>
      </w:pPr>
      <w:r w:rsidRPr="004A2B47">
        <w:t>Companion Volume implementation guides ar</w:t>
      </w:r>
      <w:r w:rsidRPr="004A2B47">
        <w:t xml:space="preserve">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75A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A2B47" w:rsidP="004A2B47"/>
    <w:sectPr w:rsidSect="004A2B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47" w:rsidRPr="002A274A" w:rsidP="002A27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4A" w:rsidP="004A2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274A" w:rsidP="004A2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274A" w:rsidP="004A2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B47" w:rsidRPr="002A274A" w:rsidP="002A27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4A" w:rsidRPr="002D2AF8" w:rsidP="004A2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PSPMGT007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A274A" w:rsidP="004A2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C04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6EA7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B47"/>
  </w:style>
  <w:style w:type="character" w:customStyle="1" w:styleId="Heading1Char">
    <w:name w:val="Heading 1 Char"/>
    <w:basedOn w:val="DefaultParagraphFont"/>
    <w:link w:val="Heading1"/>
    <w:rsid w:val="004A2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B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A2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2B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2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B47"/>
    <w:rPr>
      <w:b/>
      <w:spacing w:val="0"/>
    </w:rPr>
  </w:style>
  <w:style w:type="paragraph" w:customStyle="1" w:styleId="SuperTitle">
    <w:name w:val="SuperTitle"/>
    <w:basedOn w:val="Title"/>
    <w:rsid w:val="004A2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B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B47"/>
    <w:rPr>
      <w:i/>
    </w:rPr>
  </w:style>
  <w:style w:type="paragraph" w:styleId="Caption">
    <w:name w:val="caption"/>
    <w:basedOn w:val="BodyText"/>
    <w:next w:val="Normal"/>
    <w:qFormat/>
    <w:rsid w:val="004A2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B47"/>
  </w:style>
  <w:style w:type="paragraph" w:styleId="TableofFigures">
    <w:name w:val="table of figures"/>
    <w:basedOn w:val="Normal"/>
    <w:next w:val="Normal"/>
    <w:semiHidden/>
    <w:rsid w:val="004A2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B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B47"/>
    <w:rPr>
      <w:rFonts w:ascii="Wingdings" w:hAnsi="Wingdings"/>
    </w:rPr>
  </w:style>
  <w:style w:type="character" w:customStyle="1" w:styleId="HotSpot">
    <w:name w:val="HotSpot"/>
    <w:rsid w:val="004A2B47"/>
    <w:rPr>
      <w:color w:val="0033CC"/>
      <w:u w:val="none"/>
    </w:rPr>
  </w:style>
  <w:style w:type="paragraph" w:customStyle="1" w:styleId="BodyTextRight">
    <w:name w:val="Body Text Right"/>
    <w:basedOn w:val="BodyText"/>
    <w:rsid w:val="004A2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B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B47"/>
    <w:rPr>
      <w:sz w:val="32"/>
    </w:rPr>
  </w:style>
  <w:style w:type="paragraph" w:customStyle="1" w:styleId="HeadingProcedure">
    <w:name w:val="Heading Procedure"/>
    <w:basedOn w:val="HeadingBase"/>
    <w:next w:val="Normal"/>
    <w:rsid w:val="004A2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B47"/>
    <w:pPr>
      <w:spacing w:before="60" w:after="60"/>
    </w:pPr>
  </w:style>
  <w:style w:type="paragraph" w:styleId="ListContinue">
    <w:name w:val="List Continue"/>
    <w:basedOn w:val="List"/>
    <w:rsid w:val="004A2B47"/>
    <w:pPr>
      <w:ind w:firstLine="0"/>
    </w:pPr>
  </w:style>
  <w:style w:type="paragraph" w:customStyle="1" w:styleId="ListNote">
    <w:name w:val="List Note"/>
    <w:basedOn w:val="List"/>
    <w:rsid w:val="004A2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B47"/>
    <w:rPr>
      <w:rFonts w:ascii="Courier New" w:hAnsi="Courier New"/>
    </w:rPr>
  </w:style>
  <w:style w:type="paragraph" w:customStyle="1" w:styleId="NoteBullet">
    <w:name w:val="Note Bullet"/>
    <w:basedOn w:val="Note"/>
    <w:rsid w:val="004A2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B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B47"/>
    <w:rPr>
      <w:b/>
      <w:smallCaps/>
    </w:rPr>
  </w:style>
  <w:style w:type="paragraph" w:customStyle="1" w:styleId="TableListNumber">
    <w:name w:val="Table List Number"/>
    <w:basedOn w:val="ListNumber"/>
    <w:rsid w:val="004A2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B47"/>
    <w:pPr>
      <w:numPr>
        <w:numId w:val="8"/>
      </w:numPr>
    </w:pPr>
  </w:style>
  <w:style w:type="paragraph" w:customStyle="1" w:styleId="ListAlpha2">
    <w:name w:val="List Alpha 2"/>
    <w:basedOn w:val="List2"/>
    <w:rsid w:val="004A2B47"/>
    <w:pPr>
      <w:numPr>
        <w:numId w:val="7"/>
      </w:numPr>
    </w:pPr>
  </w:style>
  <w:style w:type="paragraph" w:styleId="List2">
    <w:name w:val="List 2"/>
    <w:basedOn w:val="BodyText"/>
    <w:rsid w:val="004A2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B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B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B47"/>
    <w:pPr>
      <w:numPr>
        <w:numId w:val="3"/>
      </w:numPr>
    </w:pPr>
  </w:style>
  <w:style w:type="paragraph" w:styleId="ListContinue2">
    <w:name w:val="List Continue 2"/>
    <w:basedOn w:val="List2"/>
    <w:rsid w:val="004A2B47"/>
    <w:pPr>
      <w:ind w:firstLine="0"/>
    </w:pPr>
  </w:style>
  <w:style w:type="paragraph" w:styleId="ListContinue3">
    <w:name w:val="List Continue 3"/>
    <w:basedOn w:val="List3"/>
    <w:rsid w:val="004A2B47"/>
    <w:pPr>
      <w:ind w:left="1021" w:firstLine="0"/>
    </w:pPr>
  </w:style>
  <w:style w:type="paragraph" w:styleId="ListContinue4">
    <w:name w:val="List Continue 4"/>
    <w:basedOn w:val="List4"/>
    <w:rsid w:val="004A2B47"/>
    <w:pPr>
      <w:ind w:firstLine="0"/>
    </w:pPr>
  </w:style>
  <w:style w:type="paragraph" w:styleId="ListContinue5">
    <w:name w:val="List Continue 5"/>
    <w:basedOn w:val="List5"/>
    <w:rsid w:val="004A2B47"/>
    <w:pPr>
      <w:ind w:firstLine="0"/>
    </w:pPr>
  </w:style>
  <w:style w:type="paragraph" w:styleId="ListNumber3">
    <w:name w:val="List Number 3"/>
    <w:basedOn w:val="List3"/>
    <w:rsid w:val="004A2B47"/>
    <w:pPr>
      <w:numPr>
        <w:numId w:val="4"/>
      </w:numPr>
    </w:pPr>
  </w:style>
  <w:style w:type="paragraph" w:styleId="ListNumber4">
    <w:name w:val="List Number 4"/>
    <w:basedOn w:val="List4"/>
    <w:rsid w:val="004A2B47"/>
    <w:pPr>
      <w:numPr>
        <w:numId w:val="5"/>
      </w:numPr>
    </w:pPr>
  </w:style>
  <w:style w:type="paragraph" w:styleId="ListNumber5">
    <w:name w:val="List Number 5"/>
    <w:basedOn w:val="List5"/>
    <w:rsid w:val="004A2B47"/>
    <w:pPr>
      <w:numPr>
        <w:numId w:val="6"/>
      </w:numPr>
    </w:pPr>
  </w:style>
  <w:style w:type="paragraph" w:styleId="BlockText">
    <w:name w:val="Block Text"/>
    <w:basedOn w:val="Normal"/>
    <w:rsid w:val="004A2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B47"/>
    <w:rPr>
      <w:sz w:val="16"/>
      <w:vertAlign w:val="superscript"/>
    </w:rPr>
  </w:style>
  <w:style w:type="character" w:customStyle="1" w:styleId="Symbols">
    <w:name w:val="Symbols"/>
    <w:basedOn w:val="DefaultParagraphFont"/>
    <w:rsid w:val="004A2B47"/>
    <w:rPr>
      <w:rFonts w:ascii="Symbol" w:hAnsi="Symbol"/>
    </w:rPr>
  </w:style>
  <w:style w:type="character" w:customStyle="1" w:styleId="MenuOptions">
    <w:name w:val="Menu Options"/>
    <w:basedOn w:val="DefaultParagraphFont"/>
    <w:rsid w:val="004A2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B47"/>
    <w:rPr>
      <w:b/>
    </w:rPr>
  </w:style>
  <w:style w:type="character" w:customStyle="1" w:styleId="Underlined">
    <w:name w:val="Underlined"/>
    <w:basedOn w:val="DefaultParagraphFont"/>
    <w:rsid w:val="004A2B47"/>
    <w:rPr>
      <w:u w:val="single"/>
    </w:rPr>
  </w:style>
  <w:style w:type="paragraph" w:customStyle="1" w:styleId="TableBodyTextRight">
    <w:name w:val="Table Body Text Right"/>
    <w:basedOn w:val="TableBodyText"/>
    <w:rsid w:val="004A2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B47"/>
    <w:rPr>
      <w:sz w:val="18"/>
    </w:rPr>
  </w:style>
  <w:style w:type="paragraph" w:customStyle="1" w:styleId="BodySmallRight">
    <w:name w:val="Body Small Right"/>
    <w:basedOn w:val="BodyTextRight"/>
    <w:rsid w:val="004A2B47"/>
    <w:rPr>
      <w:sz w:val="18"/>
      <w:szCs w:val="18"/>
    </w:rPr>
  </w:style>
  <w:style w:type="paragraph" w:customStyle="1" w:styleId="MarginEdition">
    <w:name w:val="Margin Edition"/>
    <w:basedOn w:val="MarginNote"/>
    <w:rsid w:val="004A2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B47"/>
    <w:rPr>
      <w:sz w:val="2"/>
      <w:szCs w:val="2"/>
    </w:rPr>
  </w:style>
  <w:style w:type="character" w:customStyle="1" w:styleId="Small">
    <w:name w:val="Small"/>
    <w:basedOn w:val="DefaultParagraphFont"/>
    <w:rsid w:val="004A2B47"/>
    <w:rPr>
      <w:sz w:val="16"/>
    </w:rPr>
  </w:style>
  <w:style w:type="paragraph" w:customStyle="1" w:styleId="WideTable">
    <w:name w:val="Wide Table"/>
    <w:basedOn w:val="Normal"/>
    <w:rsid w:val="004A2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B47"/>
  </w:style>
  <w:style w:type="paragraph" w:styleId="Quote">
    <w:name w:val="Quote"/>
    <w:basedOn w:val="Heading1"/>
    <w:link w:val="QuoteChar"/>
    <w:qFormat/>
    <w:rsid w:val="004A2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B47"/>
    <w:pPr>
      <w:pageBreakBefore/>
    </w:pPr>
  </w:style>
  <w:style w:type="paragraph" w:customStyle="1" w:styleId="Border">
    <w:name w:val="Border"/>
    <w:basedOn w:val="Normal"/>
    <w:qFormat/>
    <w:rsid w:val="004A2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B47"/>
    <w:rPr>
      <w:u w:val="single"/>
    </w:rPr>
  </w:style>
  <w:style w:type="character" w:customStyle="1" w:styleId="BoldandItalics">
    <w:name w:val="Bold and Italics"/>
    <w:qFormat/>
    <w:rsid w:val="004A2B47"/>
    <w:rPr>
      <w:b/>
      <w:i/>
      <w:u w:val="none"/>
    </w:rPr>
  </w:style>
  <w:style w:type="paragraph" w:styleId="BalloonText">
    <w:name w:val="Balloon Text"/>
    <w:basedOn w:val="Normal"/>
    <w:link w:val="BalloonTextChar"/>
    <w:rsid w:val="004A2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B47"/>
    <w:pPr>
      <w:spacing w:before="0" w:after="0"/>
    </w:pPr>
  </w:style>
  <w:style w:type="paragraph" w:customStyle="1" w:styleId="BodyTextBold">
    <w:name w:val="Body Text Bold"/>
    <w:basedOn w:val="BodyText"/>
    <w:qFormat/>
    <w:rsid w:val="004A2B47"/>
    <w:rPr>
      <w:b/>
    </w:rPr>
  </w:style>
  <w:style w:type="character" w:styleId="Hyperlink">
    <w:name w:val="Hyperlink"/>
    <w:basedOn w:val="DefaultParagraphFont"/>
    <w:uiPriority w:val="99"/>
    <w:unhideWhenUsed/>
    <w:rsid w:val="002A27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2795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PSPMGT007 Manage risk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