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E62" w:rsidP="00722E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PSPMGT004 Manage diversity</w:t>
      </w:r>
      <w:r>
        <w:fldChar w:fldCharType="end"/>
      </w:r>
    </w:p>
    <w:p w:rsidR="00722E62" w:rsidP="00722E62">
      <w:pPr>
        <w:pStyle w:val="Version"/>
        <w:sectPr w:rsidSect="001A6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9E6" w:rsidP="001A69E6">
      <w:pPr>
        <w:pStyle w:val="SuperHeading"/>
      </w:pPr>
      <w:r w:rsidRPr="001A69E6">
        <w:t>PSPMGT004 Manage diversity</w:t>
      </w:r>
    </w:p>
    <w:p w:rsidR="00000000" w:rsidRPr="001A69E6" w:rsidP="001A69E6">
      <w:pPr>
        <w:pStyle w:val="Heading1"/>
      </w:pPr>
      <w:bookmarkStart w:id="1" w:name="O_822847"/>
      <w:bookmarkEnd w:id="1"/>
      <w:r w:rsidRPr="001A69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22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9E6">
            <w:pPr>
              <w:pStyle w:val="TableHeading"/>
              <w:rPr>
                <w:lang w:val="en-NZ"/>
              </w:rPr>
            </w:pPr>
            <w:r w:rsidRPr="001A69E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9E6">
            <w:pPr>
              <w:pStyle w:val="TableHeading"/>
              <w:rPr>
                <w:lang w:val="en-NZ"/>
              </w:rPr>
            </w:pPr>
            <w:r w:rsidRPr="001A69E6">
              <w:t>Comments</w:t>
            </w:r>
          </w:p>
        </w:tc>
      </w:tr>
      <w:tr w:rsidTr="00722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9E6">
            <w:pPr>
              <w:pStyle w:val="BodyText"/>
              <w:rPr>
                <w:lang w:val="en-NZ"/>
              </w:rPr>
            </w:pPr>
            <w:r w:rsidRPr="001A69E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9E6" w:rsidP="001A69E6">
            <w:pPr>
              <w:pStyle w:val="BodyText"/>
            </w:pPr>
            <w:r w:rsidRPr="001A69E6">
              <w:t xml:space="preserve">This unit was released in PSP Public Sector Training Package release 1.0 and meets the Standards for Training Packages. </w:t>
            </w:r>
          </w:p>
          <w:p w:rsidR="00000000" w:rsidRPr="001A69E6" w:rsidP="001A69E6">
            <w:pPr>
              <w:pStyle w:val="BodyText"/>
            </w:pPr>
          </w:p>
          <w:p w:rsidR="00000000" w:rsidRPr="001A69E6" w:rsidP="001A69E6">
            <w:pPr>
              <w:pStyle w:val="BodyText"/>
            </w:pPr>
            <w:r w:rsidRPr="001A69E6">
              <w:t>This unit supersedes and is equivalent to PSPMNGT605B Manage diversity.</w:t>
            </w:r>
          </w:p>
          <w:p w:rsidR="00000000" w:rsidRPr="001A69E6" w:rsidP="001A69E6">
            <w:pPr>
              <w:pStyle w:val="BodyText"/>
            </w:pPr>
          </w:p>
          <w:p w:rsidR="00000000" w:rsidRPr="001A69E6" w:rsidP="001A69E6">
            <w:pPr>
              <w:pStyle w:val="ListBullet"/>
            </w:pPr>
            <w:r w:rsidRPr="001A69E6">
              <w:t>Unit code updated</w:t>
            </w:r>
          </w:p>
          <w:p w:rsidR="00000000" w:rsidRPr="001A69E6" w:rsidP="001A69E6">
            <w:pPr>
              <w:pStyle w:val="ListBullet"/>
            </w:pPr>
            <w:r w:rsidRPr="001A69E6">
              <w:t>C</w:t>
            </w:r>
            <w:r w:rsidRPr="001A69E6">
              <w:t>ontent and formatting updated to comply with new standards</w:t>
            </w:r>
          </w:p>
          <w:p w:rsidR="00000000" w:rsidRPr="001A69E6" w:rsidP="001A69E6">
            <w:pPr>
              <w:pStyle w:val="ListBullet"/>
            </w:pPr>
            <w:r w:rsidRPr="001A69E6">
              <w:t>All PC transitioned from passive to active voice</w:t>
            </w:r>
          </w:p>
        </w:tc>
      </w:tr>
    </w:tbl>
    <w:p w:rsidR="00722E62" w:rsidP="001A69E6">
      <w:pPr>
        <w:pStyle w:val="BodyText"/>
      </w:pPr>
    </w:p>
    <w:p w:rsidR="00722E62" w:rsidP="001A69E6">
      <w:pPr>
        <w:pStyle w:val="BodyText"/>
      </w:pPr>
    </w:p>
    <w:p w:rsidR="00000000" w:rsidRPr="001A69E6" w:rsidP="001A69E6">
      <w:pPr>
        <w:pStyle w:val="Heading1"/>
      </w:pPr>
      <w:bookmarkStart w:id="2" w:name="O_822848"/>
      <w:bookmarkEnd w:id="2"/>
      <w:r w:rsidRPr="001A69E6">
        <w:t>Application</w:t>
      </w:r>
    </w:p>
    <w:p w:rsidR="00000000" w:rsidRPr="001A69E6" w:rsidP="00722E62">
      <w:pPr>
        <w:pStyle w:val="BodyText"/>
      </w:pPr>
      <w:r w:rsidRPr="001A69E6">
        <w:t>This unit describes the skills required to provide productive diversity management to maximise workforce effectiveness. It includes contributing to, monitoring a diversity strategy and facilitating communication with a diverse workforce.</w:t>
      </w:r>
    </w:p>
    <w:p w:rsidR="00000000" w:rsidRPr="001A69E6" w:rsidP="00722E62">
      <w:pPr>
        <w:pStyle w:val="BodyText"/>
      </w:pPr>
      <w:r w:rsidRPr="001A69E6">
        <w:t>This unit applies</w:t>
      </w:r>
      <w:r w:rsidRPr="001A69E6">
        <w:t xml:space="preserve"> to those working in management roles involved in personnel management.</w:t>
      </w:r>
    </w:p>
    <w:p w:rsidR="00000000" w:rsidRPr="001A69E6" w:rsidP="00722E62">
      <w:pPr>
        <w:pStyle w:val="BodyText"/>
      </w:pPr>
      <w:r w:rsidRPr="001A69E6">
        <w:t>The skills and knowledge described in this unit must be applied within the legislative, regulatory and policy environment in which they are carried out. Organisational policies and pr</w:t>
      </w:r>
      <w:r w:rsidRPr="001A69E6">
        <w:t>ocedures must be consulted and adhered to.</w:t>
      </w:r>
    </w:p>
    <w:p w:rsidR="00000000" w:rsidRPr="001A69E6" w:rsidP="00722E62">
      <w:pPr>
        <w:pStyle w:val="BodyText"/>
      </w:pPr>
      <w:r w:rsidRPr="001A69E6">
        <w:t>Those undertaking this unit would work autonomously with management responsibilities performing sophisticated tasks in a range of contexts.</w:t>
      </w:r>
    </w:p>
    <w:p w:rsidR="00722E62" w:rsidP="00722E62">
      <w:pPr>
        <w:pStyle w:val="BodyText"/>
      </w:pPr>
      <w:r w:rsidRPr="001A69E6">
        <w:t>No licensing, legislative or certification requirements apply to unit a</w:t>
      </w:r>
      <w:r w:rsidRPr="001A69E6">
        <w:t>t the time of publication.</w:t>
      </w:r>
    </w:p>
    <w:p w:rsidR="00000000" w:rsidRPr="001A69E6" w:rsidP="001A69E6">
      <w:pPr>
        <w:pStyle w:val="Heading1"/>
      </w:pPr>
      <w:bookmarkStart w:id="3" w:name="O_822850"/>
      <w:bookmarkEnd w:id="3"/>
      <w:r w:rsidRPr="001A69E6">
        <w:t>Competency Field</w:t>
      </w:r>
    </w:p>
    <w:p w:rsidR="00000000" w:rsidRPr="001A69E6" w:rsidP="00722E62">
      <w:pPr>
        <w:pStyle w:val="BodyText"/>
      </w:pPr>
      <w:r w:rsidRPr="001A69E6">
        <w:t>Management</w:t>
      </w:r>
    </w:p>
    <w:p w:rsidR="00000000" w:rsidRPr="001A69E6" w:rsidP="001A69E6">
      <w:pPr>
        <w:pStyle w:val="Heading1"/>
      </w:pPr>
      <w:bookmarkStart w:id="4" w:name="O_822852"/>
      <w:bookmarkEnd w:id="4"/>
      <w:r w:rsidRPr="001A69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1A6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9E6">
            <w:pPr>
              <w:pStyle w:val="TableHeading"/>
              <w:rPr>
                <w:lang w:val="en-NZ"/>
              </w:rPr>
            </w:pPr>
            <w:r w:rsidRPr="001A69E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9E6">
            <w:pPr>
              <w:pStyle w:val="TableHeading"/>
              <w:rPr>
                <w:lang w:val="en-NZ"/>
              </w:rPr>
            </w:pPr>
            <w:r w:rsidRPr="001A69E6">
              <w:t>PERFORMANCE CRITERIA</w:t>
            </w:r>
          </w:p>
        </w:tc>
      </w:tr>
      <w:tr w:rsidTr="001A6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9E6">
            <w:pPr>
              <w:pStyle w:val="BodyText"/>
              <w:rPr>
                <w:lang w:val="en-NZ"/>
              </w:rPr>
            </w:pPr>
            <w:r w:rsidRPr="001A69E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9E6">
            <w:pPr>
              <w:pStyle w:val="BodyText"/>
              <w:rPr>
                <w:lang w:val="en-NZ"/>
              </w:rPr>
            </w:pPr>
            <w:r w:rsidRPr="001A69E6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1A6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9E6">
            <w:pPr>
              <w:pStyle w:val="List"/>
              <w:rPr>
                <w:lang w:val="en-NZ"/>
              </w:rPr>
            </w:pPr>
            <w:r w:rsidRPr="001A69E6">
              <w:rPr>
                <w:rStyle w:val="SpecialBold"/>
              </w:rPr>
              <w:t>1.</w:t>
            </w:r>
            <w:r w:rsidRPr="001A69E6">
              <w:rPr>
                <w:rStyle w:val="SpecialBold"/>
              </w:rPr>
              <w:tab/>
              <w:t>Contribute to the development of a diversity strateg</w:t>
            </w:r>
            <w:r w:rsidRPr="001A69E6">
              <w:rPr>
                <w:rStyle w:val="SpecialBold"/>
              </w:rPr>
              <w:t>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9E6" w:rsidP="001A69E6">
            <w:pPr>
              <w:pStyle w:val="List"/>
            </w:pPr>
            <w:r w:rsidRPr="001A69E6">
              <w:t>1.1</w:t>
            </w:r>
            <w:r w:rsidRPr="001A69E6">
              <w:tab/>
              <w:t>Identify the organisational context and framework for the diversity strategy and establish key result areas.</w:t>
            </w:r>
          </w:p>
          <w:p w:rsidR="00000000" w:rsidRPr="001A69E6" w:rsidP="001A69E6">
            <w:pPr>
              <w:pStyle w:val="List"/>
            </w:pPr>
            <w:r w:rsidRPr="001A69E6">
              <w:t>1.2</w:t>
            </w:r>
            <w:r w:rsidRPr="001A69E6">
              <w:tab/>
              <w:t>Identify diversity issues and objectives to enhance business unit and organisational effectiveness.</w:t>
            </w:r>
          </w:p>
          <w:p w:rsidR="00000000" w:rsidRPr="001A69E6" w:rsidP="001A69E6">
            <w:pPr>
              <w:pStyle w:val="List"/>
            </w:pPr>
            <w:r w:rsidRPr="001A69E6">
              <w:t>1.3</w:t>
            </w:r>
            <w:r w:rsidRPr="001A69E6">
              <w:tab/>
              <w:t>Use the strategy to identify bene</w:t>
            </w:r>
            <w:r w:rsidRPr="001A69E6">
              <w:t>fits and opportunities provided by a diverse workforce.</w:t>
            </w:r>
          </w:p>
          <w:p w:rsidR="00000000" w:rsidRPr="001A69E6" w:rsidP="001A69E6">
            <w:pPr>
              <w:pStyle w:val="List"/>
            </w:pPr>
            <w:r w:rsidRPr="001A69E6">
              <w:t>1.4</w:t>
            </w:r>
            <w:r w:rsidRPr="001A69E6">
              <w:tab/>
              <w:t>Link diversity objectives in the strategy with the demographic profile of the client base, the organisation’s strategic goals and the core business of the business unit.</w:t>
            </w:r>
          </w:p>
          <w:p w:rsidR="00000000" w:rsidRPr="001A69E6" w:rsidP="001A69E6">
            <w:pPr>
              <w:pStyle w:val="List"/>
            </w:pPr>
            <w:r w:rsidRPr="001A69E6">
              <w:t>1.5</w:t>
            </w:r>
            <w:r w:rsidRPr="001A69E6">
              <w:tab/>
              <w:t>Consult with stakehold</w:t>
            </w:r>
            <w:r w:rsidRPr="001A69E6">
              <w:t>ers, including people from key equity groups and the organisation’s clients.</w:t>
            </w:r>
          </w:p>
          <w:p w:rsidR="00000000" w:rsidP="001A69E6">
            <w:pPr>
              <w:pStyle w:val="List"/>
              <w:rPr>
                <w:lang w:val="en-NZ"/>
              </w:rPr>
            </w:pPr>
            <w:r w:rsidRPr="001A69E6">
              <w:t>1.6</w:t>
            </w:r>
            <w:r w:rsidRPr="001A69E6">
              <w:tab/>
              <w:t xml:space="preserve">Design the strategy to provide a mechanism through which diversity issues can be integrated. </w:t>
            </w:r>
          </w:p>
        </w:tc>
      </w:tr>
      <w:tr w:rsidTr="001A6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4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9E6">
            <w:pPr>
              <w:pStyle w:val="List"/>
              <w:rPr>
                <w:lang w:val="en-NZ"/>
              </w:rPr>
            </w:pPr>
            <w:r w:rsidRPr="001A69E6">
              <w:rPr>
                <w:rStyle w:val="SpecialBold"/>
              </w:rPr>
              <w:t>2.</w:t>
            </w:r>
            <w:r w:rsidRPr="001A69E6">
              <w:rPr>
                <w:rStyle w:val="SpecialBold"/>
              </w:rPr>
              <w:tab/>
              <w:t>Promote and review diversity strategy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9E6" w:rsidP="001A69E6">
            <w:pPr>
              <w:pStyle w:val="List"/>
            </w:pPr>
            <w:r w:rsidRPr="001A69E6">
              <w:t>2.1</w:t>
            </w:r>
            <w:r w:rsidRPr="001A69E6">
              <w:tab/>
              <w:t>Communicate and promote the strateg</w:t>
            </w:r>
            <w:r w:rsidRPr="001A69E6">
              <w:t>y within the business unit and the organisation in accordance with audience needs.</w:t>
            </w:r>
          </w:p>
          <w:p w:rsidR="00000000" w:rsidRPr="001A69E6" w:rsidP="001A69E6">
            <w:pPr>
              <w:pStyle w:val="List"/>
            </w:pPr>
            <w:r w:rsidRPr="001A69E6">
              <w:t>2.2</w:t>
            </w:r>
            <w:r w:rsidRPr="001A69E6">
              <w:tab/>
              <w:t>Identify the need for diversity support programs and establish such programs in accordance with the objectives of the diversity strategy.</w:t>
            </w:r>
          </w:p>
          <w:p w:rsidR="00000000" w:rsidRPr="001A69E6" w:rsidP="001A69E6">
            <w:pPr>
              <w:pStyle w:val="List"/>
            </w:pPr>
            <w:r w:rsidRPr="001A69E6">
              <w:t>2.3</w:t>
            </w:r>
            <w:r w:rsidRPr="001A69E6">
              <w:tab/>
              <w:t>Encourage individuals to al</w:t>
            </w:r>
            <w:r w:rsidRPr="001A69E6">
              <w:t>ign everyday work with the diversity strategy.</w:t>
            </w:r>
          </w:p>
          <w:p w:rsidR="00000000" w:rsidRPr="001A69E6" w:rsidP="001A69E6">
            <w:pPr>
              <w:pStyle w:val="List"/>
            </w:pPr>
            <w:r w:rsidRPr="001A69E6">
              <w:t>2.4</w:t>
            </w:r>
            <w:r w:rsidRPr="001A69E6">
              <w:tab/>
              <w:t>Monitor and report progress of diversity strategies within business plans.</w:t>
            </w:r>
          </w:p>
          <w:p w:rsidR="00000000" w:rsidP="001A69E6">
            <w:pPr>
              <w:pStyle w:val="List"/>
              <w:rPr>
                <w:lang w:val="en-NZ"/>
              </w:rPr>
            </w:pPr>
            <w:r w:rsidRPr="001A69E6">
              <w:t>2.5</w:t>
            </w:r>
            <w:r w:rsidRPr="001A69E6">
              <w:tab/>
              <w:t>Monitor and review the effectiveness of the strategy and identify and act upon recommendations for enhancements.</w:t>
            </w:r>
          </w:p>
        </w:tc>
      </w:tr>
      <w:tr w:rsidTr="001A6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4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9E6">
            <w:pPr>
              <w:pStyle w:val="List"/>
              <w:rPr>
                <w:lang w:val="en-NZ"/>
              </w:rPr>
            </w:pPr>
            <w:r w:rsidRPr="001A69E6">
              <w:rPr>
                <w:rStyle w:val="SpecialBold"/>
              </w:rPr>
              <w:t>3.</w:t>
            </w:r>
            <w:r w:rsidRPr="001A69E6">
              <w:rPr>
                <w:rStyle w:val="SpecialBold"/>
              </w:rPr>
              <w:tab/>
            </w:r>
            <w:r w:rsidRPr="001A69E6">
              <w:rPr>
                <w:rStyle w:val="SpecialBold"/>
              </w:rPr>
              <w:t>Facilitate the development of a workforce that promotes and values diversity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9E6" w:rsidP="001A69E6">
            <w:pPr>
              <w:pStyle w:val="List"/>
            </w:pPr>
            <w:r w:rsidRPr="001A69E6">
              <w:t>3.1</w:t>
            </w:r>
            <w:r w:rsidRPr="001A69E6">
              <w:tab/>
              <w:t>Identify and communicate benefits of a diverse workforce to those working within the business unit and the organisation.</w:t>
            </w:r>
          </w:p>
          <w:p w:rsidR="00000000" w:rsidRPr="001A69E6" w:rsidP="001A69E6">
            <w:pPr>
              <w:pStyle w:val="List"/>
            </w:pPr>
            <w:r w:rsidRPr="001A69E6">
              <w:t>3.2</w:t>
            </w:r>
            <w:r w:rsidRPr="001A69E6">
              <w:tab/>
              <w:t>Develop or adopt initiatives and resources to addr</w:t>
            </w:r>
            <w:r w:rsidRPr="001A69E6">
              <w:t>ess barriers to equal employment opportunity within the organisation.</w:t>
            </w:r>
          </w:p>
          <w:p w:rsidR="00000000" w:rsidRPr="001A69E6" w:rsidP="001A69E6">
            <w:pPr>
              <w:pStyle w:val="List"/>
            </w:pPr>
            <w:r w:rsidRPr="001A69E6">
              <w:t>3.3</w:t>
            </w:r>
            <w:r w:rsidRPr="001A69E6">
              <w:tab/>
              <w:t>Employ a range of leadership styles to facilitate intercultural management and to manage diverse teams.</w:t>
            </w:r>
          </w:p>
          <w:p w:rsidR="00000000" w:rsidRPr="001A69E6" w:rsidP="001A69E6">
            <w:pPr>
              <w:pStyle w:val="List"/>
            </w:pPr>
            <w:r w:rsidRPr="001A69E6">
              <w:t>3.4</w:t>
            </w:r>
            <w:r w:rsidRPr="001A69E6">
              <w:tab/>
              <w:t xml:space="preserve">Identify and use the diversity factors associated with individuals within </w:t>
            </w:r>
            <w:r w:rsidRPr="001A69E6">
              <w:t>the workforce in the delivery of services to diverse clients.</w:t>
            </w:r>
          </w:p>
          <w:p w:rsidR="00000000" w:rsidRPr="001A69E6" w:rsidP="001A69E6">
            <w:pPr>
              <w:pStyle w:val="List"/>
            </w:pPr>
            <w:r w:rsidRPr="001A69E6">
              <w:t>3.5</w:t>
            </w:r>
            <w:r w:rsidRPr="001A69E6">
              <w:tab/>
              <w:t>Accept and encourage a range of working styles that are reflective of a diverse workforce, unified to the organisational context.</w:t>
            </w:r>
          </w:p>
          <w:p w:rsidR="00000000" w:rsidP="001A69E6">
            <w:pPr>
              <w:pStyle w:val="List"/>
              <w:rPr>
                <w:lang w:val="en-NZ"/>
              </w:rPr>
            </w:pPr>
            <w:r w:rsidRPr="001A69E6">
              <w:t>3.6</w:t>
            </w:r>
            <w:r w:rsidRPr="001A69E6">
              <w:tab/>
              <w:t>Use diversity training and awareness programs, to promot</w:t>
            </w:r>
            <w:r w:rsidRPr="001A69E6">
              <w:t xml:space="preserve">e the </w:t>
            </w:r>
            <w:r w:rsidRPr="001A69E6">
              <w:t>benefits of a diverse workforce.</w:t>
            </w:r>
          </w:p>
        </w:tc>
      </w:tr>
      <w:tr w:rsidTr="001A6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4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9E6">
            <w:pPr>
              <w:pStyle w:val="List"/>
              <w:rPr>
                <w:lang w:val="en-NZ"/>
              </w:rPr>
            </w:pPr>
            <w:r w:rsidRPr="001A69E6">
              <w:rPr>
                <w:rStyle w:val="SpecialBold"/>
              </w:rPr>
              <w:t>4.</w:t>
            </w:r>
            <w:r w:rsidRPr="001A69E6">
              <w:rPr>
                <w:rStyle w:val="SpecialBold"/>
              </w:rPr>
              <w:tab/>
              <w:t>Facilitate communication within a diverse workforce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9E6" w:rsidP="001A69E6">
            <w:pPr>
              <w:pStyle w:val="List"/>
            </w:pPr>
            <w:r w:rsidRPr="001A69E6">
              <w:t>4.1</w:t>
            </w:r>
            <w:r w:rsidRPr="001A69E6">
              <w:tab/>
              <w:t>Identify and address language, literacy and numeracy issues to facilitate full participation of all members of the workforce and development activities.</w:t>
            </w:r>
          </w:p>
          <w:p w:rsidR="00000000" w:rsidRPr="001A69E6" w:rsidP="001A69E6">
            <w:pPr>
              <w:pStyle w:val="List"/>
            </w:pPr>
            <w:r w:rsidRPr="001A69E6">
              <w:t>4.2</w:t>
            </w:r>
            <w:r w:rsidRPr="001A69E6">
              <w:tab/>
            </w:r>
            <w:r w:rsidRPr="001A69E6">
              <w:t>Employ a range of communication strategies to meet the needs of a diverse workforce and client base.</w:t>
            </w:r>
          </w:p>
          <w:p w:rsidR="00000000" w:rsidRPr="001A69E6" w:rsidP="001A69E6">
            <w:pPr>
              <w:pStyle w:val="List"/>
            </w:pPr>
            <w:r w:rsidRPr="001A69E6">
              <w:t>4.3</w:t>
            </w:r>
            <w:r w:rsidRPr="001A69E6">
              <w:tab/>
              <w:t>Identify the target audience and tailor communications strategies accordingly.</w:t>
            </w:r>
          </w:p>
          <w:p w:rsidR="00000000" w:rsidRPr="001A69E6" w:rsidP="001A69E6">
            <w:pPr>
              <w:pStyle w:val="List"/>
            </w:pPr>
            <w:r w:rsidRPr="001A69E6">
              <w:t>4.4</w:t>
            </w:r>
            <w:r w:rsidRPr="001A69E6">
              <w:tab/>
              <w:t>Identify and use resources to facilitate effective communication wit</w:t>
            </w:r>
            <w:r w:rsidRPr="001A69E6">
              <w:t>hin the workplace.</w:t>
            </w:r>
          </w:p>
          <w:p w:rsidR="00000000" w:rsidRPr="001A69E6" w:rsidP="001A69E6">
            <w:pPr>
              <w:pStyle w:val="List"/>
            </w:pPr>
            <w:r w:rsidRPr="001A69E6">
              <w:t>4.5</w:t>
            </w:r>
            <w:r w:rsidRPr="001A69E6">
              <w:tab/>
              <w:t>Identify and adjust ineffective and inappropriate communication strategies to meet the information needs of a diverse workforce and client base.</w:t>
            </w:r>
          </w:p>
        </w:tc>
      </w:tr>
    </w:tbl>
    <w:p w:rsidR="00000000" w:rsidRPr="001A69E6" w:rsidP="001A69E6">
      <w:pPr>
        <w:pStyle w:val="BodyText"/>
      </w:pPr>
    </w:p>
    <w:p w:rsidR="00000000" w:rsidRPr="001A69E6" w:rsidP="001A69E6">
      <w:pPr>
        <w:pStyle w:val="AllowPageBreak"/>
      </w:pPr>
    </w:p>
    <w:p w:rsidR="00000000" w:rsidRPr="001A69E6" w:rsidP="001A69E6">
      <w:pPr>
        <w:pStyle w:val="Heading1"/>
      </w:pPr>
      <w:bookmarkStart w:id="5" w:name="O_822853"/>
      <w:bookmarkEnd w:id="5"/>
      <w:r w:rsidRPr="001A69E6">
        <w:t>Foundation Skills</w:t>
      </w:r>
    </w:p>
    <w:p w:rsidR="00000000" w:rsidRPr="001A69E6" w:rsidP="00722E62">
      <w:pPr>
        <w:pStyle w:val="BodyText"/>
      </w:pPr>
      <w:r w:rsidRPr="001A69E6">
        <w:t>The foundation skills demands of this unit have bee</w:t>
      </w:r>
      <w:r w:rsidRPr="001A69E6">
        <w:t>n mapped for alignment with the Australian Core Skills Framework (ACSF). The following tables outline the performance levels indicated for successful attainment of the unit.</w:t>
      </w:r>
    </w:p>
    <w:p w:rsidR="00000000" w:rsidRPr="001A69E6" w:rsidP="001A69E6">
      <w:pPr>
        <w:pStyle w:val="BodyText"/>
        <w:keepNext/>
      </w:pPr>
    </w:p>
    <w:p w:rsidR="00000000" w:rsidRPr="001A69E6" w:rsidP="001A69E6">
      <w:pPr>
        <w:pStyle w:val="BodyText"/>
      </w:pPr>
      <w:bookmarkStart w:id="6" w:name="O_84222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9.5pt;width:463.5pt">
            <v:imagedata r:id="rId10" o:title=""/>
          </v:shape>
        </w:pict>
      </w:r>
      <w:bookmarkEnd w:id="6"/>
    </w:p>
    <w:p w:rsidR="00000000" w:rsidRPr="001A69E6" w:rsidP="001A69E6">
      <w:pPr>
        <w:pStyle w:val="BodyText"/>
      </w:pPr>
    </w:p>
    <w:p w:rsidR="00000000" w:rsidRPr="001A69E6" w:rsidP="00722E62">
      <w:pPr>
        <w:pStyle w:val="BodyText"/>
      </w:pPr>
      <w:r w:rsidRPr="001A69E6">
        <w:t>Further information on ACSF and the foundation skills underpinning this unit can be found in the Foundation Skills Guide on the GSA website.</w:t>
      </w:r>
    </w:p>
    <w:p w:rsidR="00000000" w:rsidRPr="001A69E6" w:rsidP="001A69E6">
      <w:pPr>
        <w:pStyle w:val="Heading1"/>
      </w:pPr>
      <w:bookmarkStart w:id="7" w:name="O_822855"/>
      <w:bookmarkEnd w:id="7"/>
      <w:r w:rsidRPr="001A69E6">
        <w:t>Unit Mapping Information</w:t>
      </w:r>
    </w:p>
    <w:p w:rsidR="00000000" w:rsidRPr="001A69E6" w:rsidP="00722E62">
      <w:pPr>
        <w:pStyle w:val="BodyText"/>
      </w:pPr>
      <w:r w:rsidRPr="001A69E6">
        <w:t>This unit supersedes and is equivalent to PSPMNGT605B Manage diversity.</w:t>
      </w:r>
    </w:p>
    <w:p w:rsidR="00000000" w:rsidRPr="001A69E6" w:rsidP="001A69E6">
      <w:pPr>
        <w:pStyle w:val="Heading1"/>
      </w:pPr>
      <w:bookmarkStart w:id="8" w:name="O_822862"/>
      <w:bookmarkEnd w:id="8"/>
      <w:r w:rsidRPr="001A69E6">
        <w:t>Links</w:t>
      </w:r>
    </w:p>
    <w:p w:rsidR="00000000" w:rsidRPr="001A69E6" w:rsidP="00722E62">
      <w:pPr>
        <w:pStyle w:val="BodyText"/>
      </w:pPr>
      <w:r w:rsidRPr="001A69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D289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A69E6" w:rsidP="00722E62">
      <w:pPr>
        <w:pStyle w:val="BodyText"/>
      </w:pPr>
      <w:r w:rsidRPr="001A69E6">
        <w:t>Companion Volum</w:t>
      </w:r>
      <w:r w:rsidRPr="001A69E6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D289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A69E6" w:rsidP="00722E62">
      <w:pPr>
        <w:pStyle w:val="BodyText"/>
      </w:pPr>
      <w:r w:rsidRPr="001A69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D289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A69E6" w:rsidP="00722E62">
      <w:pPr>
        <w:pStyle w:val="BodyText"/>
      </w:pPr>
      <w:r w:rsidRPr="001A69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D289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A69E6" w:rsidP="001A69E6"/>
    <w:sectPr w:rsidSect="001A69E6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9E6" w:rsidRPr="00722E62" w:rsidP="00722E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62" w:rsidP="001A6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2E62" w:rsidP="001A6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22E62" w:rsidP="001A6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9E6" w:rsidRPr="00722E62" w:rsidP="00722E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E62" w:rsidRPr="002D2AF8" w:rsidP="001A6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PSPMGT004 Manage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722E62" w:rsidP="001A6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7A5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FC96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9E6"/>
  </w:style>
  <w:style w:type="character" w:customStyle="1" w:styleId="Heading1Char">
    <w:name w:val="Heading 1 Char"/>
    <w:basedOn w:val="DefaultParagraphFont"/>
    <w:link w:val="Heading1"/>
    <w:rsid w:val="001A6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9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69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69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69E6"/>
    <w:rPr>
      <w:b/>
      <w:spacing w:val="0"/>
    </w:rPr>
  </w:style>
  <w:style w:type="paragraph" w:customStyle="1" w:styleId="SuperHeading">
    <w:name w:val="SuperHeading"/>
    <w:basedOn w:val="Normal"/>
    <w:rsid w:val="001A6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A69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A6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9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6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6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69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6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9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9E6"/>
    <w:rPr>
      <w:i/>
    </w:rPr>
  </w:style>
  <w:style w:type="paragraph" w:styleId="Caption">
    <w:name w:val="caption"/>
    <w:basedOn w:val="BodyText"/>
    <w:next w:val="Normal"/>
    <w:qFormat/>
    <w:rsid w:val="001A6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9E6"/>
  </w:style>
  <w:style w:type="paragraph" w:styleId="TableofFigures">
    <w:name w:val="table of figures"/>
    <w:basedOn w:val="Normal"/>
    <w:next w:val="Normal"/>
    <w:semiHidden/>
    <w:rsid w:val="001A6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9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69E6"/>
    <w:rPr>
      <w:rFonts w:ascii="Wingdings" w:hAnsi="Wingdings"/>
    </w:rPr>
  </w:style>
  <w:style w:type="character" w:customStyle="1" w:styleId="HotSpot">
    <w:name w:val="HotSpot"/>
    <w:rsid w:val="001A69E6"/>
    <w:rPr>
      <w:color w:val="0033CC"/>
      <w:u w:val="none"/>
    </w:rPr>
  </w:style>
  <w:style w:type="paragraph" w:customStyle="1" w:styleId="BodyTextRight">
    <w:name w:val="Body Text Right"/>
    <w:basedOn w:val="BodyText"/>
    <w:rsid w:val="001A6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9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9E6"/>
    <w:rPr>
      <w:sz w:val="32"/>
    </w:rPr>
  </w:style>
  <w:style w:type="paragraph" w:customStyle="1" w:styleId="HeadingProcedure">
    <w:name w:val="Heading Procedure"/>
    <w:basedOn w:val="HeadingBase"/>
    <w:next w:val="Normal"/>
    <w:rsid w:val="001A6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9E6"/>
    <w:pPr>
      <w:spacing w:before="60" w:after="60"/>
    </w:pPr>
  </w:style>
  <w:style w:type="paragraph" w:styleId="ListContinue">
    <w:name w:val="List Continue"/>
    <w:basedOn w:val="List"/>
    <w:rsid w:val="001A69E6"/>
    <w:pPr>
      <w:ind w:firstLine="0"/>
    </w:pPr>
  </w:style>
  <w:style w:type="paragraph" w:customStyle="1" w:styleId="ListNote">
    <w:name w:val="List Note"/>
    <w:basedOn w:val="List"/>
    <w:rsid w:val="001A6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9E6"/>
    <w:rPr>
      <w:rFonts w:ascii="Courier New" w:hAnsi="Courier New"/>
    </w:rPr>
  </w:style>
  <w:style w:type="paragraph" w:customStyle="1" w:styleId="NoteBullet">
    <w:name w:val="Note Bullet"/>
    <w:basedOn w:val="Note"/>
    <w:rsid w:val="001A6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9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6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9E6"/>
    <w:rPr>
      <w:b/>
      <w:smallCaps/>
    </w:rPr>
  </w:style>
  <w:style w:type="paragraph" w:customStyle="1" w:styleId="TableListNumber">
    <w:name w:val="Table List Number"/>
    <w:basedOn w:val="ListNumber"/>
    <w:rsid w:val="001A6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9E6"/>
    <w:pPr>
      <w:numPr>
        <w:numId w:val="8"/>
      </w:numPr>
    </w:pPr>
  </w:style>
  <w:style w:type="paragraph" w:customStyle="1" w:styleId="ListAlpha2">
    <w:name w:val="List Alpha 2"/>
    <w:basedOn w:val="List2"/>
    <w:rsid w:val="001A69E6"/>
    <w:pPr>
      <w:numPr>
        <w:numId w:val="7"/>
      </w:numPr>
    </w:pPr>
  </w:style>
  <w:style w:type="paragraph" w:styleId="List2">
    <w:name w:val="List 2"/>
    <w:basedOn w:val="BodyText"/>
    <w:rsid w:val="001A6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9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9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69E6"/>
    <w:pPr>
      <w:numPr>
        <w:numId w:val="3"/>
      </w:numPr>
    </w:pPr>
  </w:style>
  <w:style w:type="paragraph" w:styleId="ListContinue2">
    <w:name w:val="List Continue 2"/>
    <w:basedOn w:val="List2"/>
    <w:rsid w:val="001A69E6"/>
    <w:pPr>
      <w:ind w:firstLine="0"/>
    </w:pPr>
  </w:style>
  <w:style w:type="paragraph" w:styleId="ListContinue3">
    <w:name w:val="List Continue 3"/>
    <w:basedOn w:val="List3"/>
    <w:rsid w:val="001A69E6"/>
    <w:pPr>
      <w:ind w:left="1021" w:firstLine="0"/>
    </w:pPr>
  </w:style>
  <w:style w:type="paragraph" w:styleId="ListContinue4">
    <w:name w:val="List Continue 4"/>
    <w:basedOn w:val="List4"/>
    <w:rsid w:val="001A69E6"/>
    <w:pPr>
      <w:ind w:firstLine="0"/>
    </w:pPr>
  </w:style>
  <w:style w:type="paragraph" w:styleId="ListContinue5">
    <w:name w:val="List Continue 5"/>
    <w:basedOn w:val="List5"/>
    <w:rsid w:val="001A69E6"/>
    <w:pPr>
      <w:ind w:firstLine="0"/>
    </w:pPr>
  </w:style>
  <w:style w:type="paragraph" w:styleId="ListNumber3">
    <w:name w:val="List Number 3"/>
    <w:basedOn w:val="List3"/>
    <w:rsid w:val="001A69E6"/>
    <w:pPr>
      <w:numPr>
        <w:numId w:val="4"/>
      </w:numPr>
    </w:pPr>
  </w:style>
  <w:style w:type="paragraph" w:styleId="ListNumber4">
    <w:name w:val="List Number 4"/>
    <w:basedOn w:val="List4"/>
    <w:rsid w:val="001A69E6"/>
    <w:pPr>
      <w:numPr>
        <w:numId w:val="5"/>
      </w:numPr>
    </w:pPr>
  </w:style>
  <w:style w:type="paragraph" w:styleId="ListNumber5">
    <w:name w:val="List Number 5"/>
    <w:basedOn w:val="List5"/>
    <w:rsid w:val="001A69E6"/>
    <w:pPr>
      <w:numPr>
        <w:numId w:val="6"/>
      </w:numPr>
    </w:pPr>
  </w:style>
  <w:style w:type="paragraph" w:styleId="BlockText">
    <w:name w:val="Block Text"/>
    <w:basedOn w:val="Normal"/>
    <w:rsid w:val="001A6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9E6"/>
    <w:rPr>
      <w:sz w:val="16"/>
      <w:vertAlign w:val="superscript"/>
    </w:rPr>
  </w:style>
  <w:style w:type="character" w:customStyle="1" w:styleId="Symbols">
    <w:name w:val="Symbols"/>
    <w:basedOn w:val="DefaultParagraphFont"/>
    <w:rsid w:val="001A69E6"/>
    <w:rPr>
      <w:rFonts w:ascii="Symbol" w:hAnsi="Symbol"/>
    </w:rPr>
  </w:style>
  <w:style w:type="character" w:customStyle="1" w:styleId="MenuOptions">
    <w:name w:val="Menu Options"/>
    <w:basedOn w:val="DefaultParagraphFont"/>
    <w:rsid w:val="001A6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9E6"/>
    <w:rPr>
      <w:b/>
    </w:rPr>
  </w:style>
  <w:style w:type="character" w:customStyle="1" w:styleId="Underlined">
    <w:name w:val="Underlined"/>
    <w:basedOn w:val="DefaultParagraphFont"/>
    <w:rsid w:val="001A69E6"/>
    <w:rPr>
      <w:u w:val="single"/>
    </w:rPr>
  </w:style>
  <w:style w:type="paragraph" w:customStyle="1" w:styleId="TableBodyTextRight">
    <w:name w:val="Table Body Text Right"/>
    <w:basedOn w:val="TableBodyText"/>
    <w:rsid w:val="001A6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9E6"/>
    <w:rPr>
      <w:sz w:val="18"/>
    </w:rPr>
  </w:style>
  <w:style w:type="paragraph" w:customStyle="1" w:styleId="BodySmallRight">
    <w:name w:val="Body Small Right"/>
    <w:basedOn w:val="BodyTextRight"/>
    <w:rsid w:val="001A69E6"/>
    <w:rPr>
      <w:sz w:val="18"/>
      <w:szCs w:val="18"/>
    </w:rPr>
  </w:style>
  <w:style w:type="paragraph" w:customStyle="1" w:styleId="MarginEdition">
    <w:name w:val="Margin Edition"/>
    <w:basedOn w:val="MarginNote"/>
    <w:rsid w:val="001A6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9E6"/>
    <w:rPr>
      <w:sz w:val="2"/>
      <w:szCs w:val="2"/>
    </w:rPr>
  </w:style>
  <w:style w:type="character" w:customStyle="1" w:styleId="Small">
    <w:name w:val="Small"/>
    <w:basedOn w:val="DefaultParagraphFont"/>
    <w:rsid w:val="001A69E6"/>
    <w:rPr>
      <w:sz w:val="16"/>
    </w:rPr>
  </w:style>
  <w:style w:type="paragraph" w:customStyle="1" w:styleId="WideTable">
    <w:name w:val="Wide Table"/>
    <w:basedOn w:val="Normal"/>
    <w:rsid w:val="001A6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9E6"/>
  </w:style>
  <w:style w:type="paragraph" w:styleId="Quote">
    <w:name w:val="Quote"/>
    <w:basedOn w:val="Heading1"/>
    <w:link w:val="QuoteChar"/>
    <w:qFormat/>
    <w:rsid w:val="001A6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9E6"/>
    <w:pPr>
      <w:pageBreakBefore/>
    </w:pPr>
  </w:style>
  <w:style w:type="paragraph" w:customStyle="1" w:styleId="Border">
    <w:name w:val="Border"/>
    <w:basedOn w:val="Normal"/>
    <w:qFormat/>
    <w:rsid w:val="001A6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9E6"/>
    <w:rPr>
      <w:u w:val="single"/>
    </w:rPr>
  </w:style>
  <w:style w:type="character" w:customStyle="1" w:styleId="BoldandItalics">
    <w:name w:val="Bold and Italics"/>
    <w:qFormat/>
    <w:rsid w:val="001A69E6"/>
    <w:rPr>
      <w:b/>
      <w:i/>
      <w:u w:val="none"/>
    </w:rPr>
  </w:style>
  <w:style w:type="paragraph" w:styleId="BalloonText">
    <w:name w:val="Balloon Text"/>
    <w:basedOn w:val="Normal"/>
    <w:link w:val="BalloonTextChar"/>
    <w:rsid w:val="001A6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9E6"/>
    <w:pPr>
      <w:spacing w:before="0" w:after="0"/>
    </w:pPr>
  </w:style>
  <w:style w:type="paragraph" w:customStyle="1" w:styleId="BodyTextBold">
    <w:name w:val="Body Text Bold"/>
    <w:basedOn w:val="BodyText"/>
    <w:qFormat/>
    <w:rsid w:val="001A69E6"/>
    <w:rPr>
      <w:b/>
    </w:rPr>
  </w:style>
  <w:style w:type="character" w:styleId="Hyperlink">
    <w:name w:val="Hyperlink"/>
    <w:basedOn w:val="DefaultParagraphFont"/>
    <w:uiPriority w:val="99"/>
    <w:unhideWhenUsed/>
    <w:rsid w:val="00722E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5099</Characters>
  <Application>Microsoft Office Word</Application>
  <DocSecurity>0</DocSecurity>
  <Lines>149</Lines>
  <Paragraphs>76</Paragraphs>
  <ScaleCrop>false</ScaleCrop>
  <Company>Author-it Software Corporation Ltd.</Company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PSPMGT004 Manage diversity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2022-09-21T04:44:00Z</dcterms:created>
  <dcterms:modified xsi:type="dcterms:W3CDTF">2022-09-21T04:44:00Z</dcterms:modified>
</cp:coreProperties>
</file>