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BB8" w:rsidP="00B11B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PSPLND013 Investigate tenure and land use history</w:t>
      </w:r>
      <w:r>
        <w:fldChar w:fldCharType="end"/>
      </w:r>
    </w:p>
    <w:p w:rsidR="00B11BB8" w:rsidP="00B11BB8">
      <w:pPr>
        <w:pStyle w:val="Version"/>
        <w:sectPr w:rsidSect="00F33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B75" w:rsidP="00F33B75">
      <w:pPr>
        <w:pStyle w:val="SuperHeading"/>
      </w:pPr>
      <w:r w:rsidRPr="00F33B75">
        <w:t>PSPLND013 Investigate tenure and land use history</w:t>
      </w:r>
    </w:p>
    <w:p w:rsidR="00000000" w:rsidRPr="00F33B75" w:rsidP="00F33B75">
      <w:pPr>
        <w:pStyle w:val="Heading1"/>
      </w:pPr>
      <w:bookmarkStart w:id="1" w:name="O_1216731"/>
      <w:bookmarkEnd w:id="1"/>
      <w:r w:rsidRPr="00F33B75">
        <w:t>Modification History</w:t>
      </w:r>
    </w:p>
    <w:p w:rsidR="00000000" w:rsidRPr="00F33B75" w:rsidP="00B11BB8">
      <w:pPr>
        <w:pStyle w:val="BodyText"/>
      </w:pPr>
      <w:r w:rsidRPr="00F33B75">
        <w:t>Supersedes and is equivalent to PSPLND001 Investigate tenure and land use history.</w:t>
      </w:r>
    </w:p>
    <w:p w:rsidR="00000000" w:rsidRPr="00F33B75" w:rsidP="00F33B75">
      <w:pPr>
        <w:pStyle w:val="Heading1"/>
      </w:pPr>
      <w:bookmarkStart w:id="2" w:name="O_1216732"/>
      <w:bookmarkEnd w:id="2"/>
      <w:r w:rsidRPr="00F33B75">
        <w:t>Application</w:t>
      </w:r>
    </w:p>
    <w:p w:rsidR="00000000" w:rsidRPr="00F33B75" w:rsidP="00B11BB8">
      <w:pPr>
        <w:pStyle w:val="BodyText"/>
      </w:pPr>
      <w:r w:rsidRPr="00F33B75">
        <w:t>This unit describes the performance outcomes, skills and knowledge required to investigate a tenure and land use</w:t>
      </w:r>
      <w:r w:rsidRPr="00F33B75">
        <w:t xml:space="preserve"> history. </w:t>
      </w:r>
    </w:p>
    <w:p w:rsidR="00000000" w:rsidRPr="00F33B75" w:rsidP="00B11BB8">
      <w:pPr>
        <w:pStyle w:val="BodyText"/>
      </w:pPr>
      <w:r w:rsidRPr="00F33B75">
        <w:t>This unit applies to those working to form a history of land use and tenure. Those undertaking this unit work independently, performing routine tasks in a range of familiar contexts.</w:t>
      </w:r>
    </w:p>
    <w:p w:rsidR="00000000" w:rsidRPr="00F33B75" w:rsidP="00B11BB8">
      <w:pPr>
        <w:pStyle w:val="BodyText"/>
      </w:pPr>
      <w:r w:rsidRPr="00F33B75">
        <w:t>The skills in this unit must be applied in accordance with Com</w:t>
      </w:r>
      <w:r w:rsidRPr="00F33B75">
        <w:t>monwealth and State or Territory legislation, Australian standards and industry codes of practice.</w:t>
      </w:r>
    </w:p>
    <w:p w:rsidR="00000000" w:rsidRPr="00F33B75" w:rsidP="00B11BB8">
      <w:pPr>
        <w:pStyle w:val="BodyText"/>
      </w:pPr>
      <w:r w:rsidRPr="00F33B75">
        <w:t>No occupational licensing, certification or specific legislative requirements apply to this unit at the time of publication.</w:t>
      </w:r>
    </w:p>
    <w:p w:rsidR="00000000" w:rsidRPr="00F33B75" w:rsidP="00F33B75">
      <w:pPr>
        <w:pStyle w:val="Heading1"/>
      </w:pPr>
      <w:bookmarkStart w:id="3" w:name="O_1216733"/>
      <w:bookmarkEnd w:id="3"/>
      <w:r w:rsidRPr="00F33B75">
        <w:t>Pre-requisite</w:t>
      </w:r>
      <w:r w:rsidRPr="00F33B75">
        <w:t xml:space="preserve"> Unit</w:t>
      </w:r>
    </w:p>
    <w:p w:rsidR="00000000" w:rsidRPr="00F33B75" w:rsidP="00B11BB8">
      <w:pPr>
        <w:pStyle w:val="BodyText"/>
      </w:pPr>
      <w:r w:rsidRPr="00F33B75">
        <w:t xml:space="preserve">Nil </w:t>
      </w:r>
    </w:p>
    <w:p w:rsidR="00000000" w:rsidRPr="00F33B75" w:rsidP="00F33B75">
      <w:pPr>
        <w:pStyle w:val="Heading1"/>
      </w:pPr>
      <w:bookmarkStart w:id="4" w:name="O_1216734"/>
      <w:bookmarkEnd w:id="4"/>
      <w:r w:rsidRPr="00F33B75">
        <w:t>Competency Field</w:t>
      </w:r>
    </w:p>
    <w:p w:rsidR="00000000" w:rsidRPr="00F33B75" w:rsidP="00B11BB8">
      <w:pPr>
        <w:pStyle w:val="BodyText"/>
      </w:pPr>
      <w:r w:rsidRPr="00F33B75">
        <w:t>Public land administration</w:t>
      </w:r>
    </w:p>
    <w:p w:rsidR="00000000" w:rsidRPr="00F33B75" w:rsidP="00F33B75">
      <w:pPr>
        <w:pStyle w:val="Heading1"/>
      </w:pPr>
      <w:bookmarkStart w:id="5" w:name="O_1216736"/>
      <w:bookmarkEnd w:id="5"/>
      <w:r w:rsidRPr="00F33B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379"/>
      </w:tblGrid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BodyText"/>
            </w:pPr>
            <w:r w:rsidRPr="00F33B75">
              <w:rPr>
                <w:rStyle w:val="SpecialBold"/>
              </w:rPr>
              <w:t>ELEMENTS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rPr>
                <w:rStyle w:val="SpecialBold"/>
              </w:rPr>
              <w:t>PERFORMANCE</w:t>
            </w:r>
            <w:r w:rsidRPr="00F33B75">
              <w:t xml:space="preserve"> </w:t>
            </w:r>
            <w:r w:rsidRPr="00F33B75">
              <w:rPr>
                <w:rStyle w:val="SpecialBold"/>
              </w:rPr>
              <w:t>CRITERIA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BodyText"/>
            </w:pPr>
            <w:r w:rsidRPr="00F33B75">
              <w:rPr>
                <w:rStyle w:val="Emphasis"/>
              </w:rPr>
              <w:t>Elements describe the essential outcomes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rPr>
                <w:rStyle w:val="Emphasis"/>
              </w:rPr>
              <w:t>Performance criteria describe the performance needed to d</w:t>
            </w:r>
            <w:r w:rsidRPr="00F33B75">
              <w:rPr>
                <w:rStyle w:val="Emphasis"/>
              </w:rPr>
              <w:t>emonstrate achievement of the element.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8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List"/>
              <w:rPr>
                <w:lang w:val="en-NZ"/>
              </w:rPr>
            </w:pPr>
            <w:r w:rsidRPr="00F33B75">
              <w:t>1.  Identify land.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"/>
            </w:pPr>
            <w:r w:rsidRPr="00F33B75">
              <w:t>1.1. Obtain sufficient details to identify map, plan or aerial photo containing the area of land.</w:t>
            </w:r>
          </w:p>
          <w:p w:rsidR="00000000" w:rsidP="00F33B75">
            <w:pPr>
              <w:pStyle w:val="List"/>
              <w:rPr>
                <w:lang w:val="en-NZ"/>
              </w:rPr>
            </w:pPr>
            <w:r w:rsidRPr="00F33B75">
              <w:t>1.2. Locate area of land on map, plan or aerial photo using information gathered.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2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List"/>
              <w:rPr>
                <w:lang w:val="en-NZ"/>
              </w:rPr>
            </w:pPr>
            <w:r w:rsidRPr="00F33B75">
              <w:t>2.  Read plans and maps.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"/>
            </w:pPr>
            <w:r w:rsidRPr="00F33B75">
              <w:t>2.1. Establish purpose of plan and map.</w:t>
            </w:r>
          </w:p>
          <w:p w:rsidR="00000000" w:rsidRPr="00F33B75" w:rsidP="00F33B75">
            <w:pPr>
              <w:pStyle w:val="List"/>
            </w:pPr>
            <w:r w:rsidRPr="00F33B75">
              <w:t>2.2. Identify the type of information that can be obtained from different types of plans and maps.</w:t>
            </w:r>
          </w:p>
          <w:p w:rsidR="00000000" w:rsidP="00F33B75">
            <w:pPr>
              <w:pStyle w:val="List"/>
              <w:rPr>
                <w:lang w:val="en-NZ"/>
              </w:rPr>
            </w:pPr>
            <w:r w:rsidRPr="00F33B75">
              <w:t>2.3. Obtain information from plan and map to suit intended purpose.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6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List"/>
              <w:rPr>
                <w:lang w:val="en-NZ"/>
              </w:rPr>
            </w:pPr>
            <w:r w:rsidRPr="00F33B75">
              <w:t>3.  Se</w:t>
            </w:r>
            <w:r w:rsidRPr="00F33B75">
              <w:t>arch public land records.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"/>
            </w:pPr>
            <w:r w:rsidRPr="00F33B75">
              <w:t>3.1. Establish the purpose for investigation of tenure and land use history to determine level of detail required.</w:t>
            </w:r>
          </w:p>
          <w:p w:rsidR="00000000" w:rsidRPr="00F33B75" w:rsidP="00F33B75">
            <w:pPr>
              <w:pStyle w:val="List"/>
            </w:pPr>
            <w:r w:rsidRPr="00F33B75">
              <w:t>3.2. Access and search electronic data sources.</w:t>
            </w:r>
          </w:p>
          <w:p w:rsidR="00000000" w:rsidRPr="00F33B75" w:rsidP="00F33B75">
            <w:pPr>
              <w:pStyle w:val="List"/>
            </w:pPr>
            <w:r w:rsidRPr="00F33B75">
              <w:t>3.3. Identify key repositories and access data sources and historic</w:t>
            </w:r>
            <w:r w:rsidRPr="00F33B75">
              <w:t xml:space="preserve"> records to obtain information relating to identified land.</w:t>
            </w:r>
          </w:p>
          <w:p w:rsidR="00000000" w:rsidRPr="00F33B75" w:rsidP="00F33B75">
            <w:pPr>
              <w:pStyle w:val="List"/>
            </w:pPr>
            <w:r w:rsidRPr="00F33B75">
              <w:t>3.4. Conduct consultations to identify and corroborate tenure and land use information.</w:t>
            </w:r>
          </w:p>
          <w:p w:rsidR="00000000" w:rsidP="00F33B75">
            <w:pPr>
              <w:pStyle w:val="List"/>
              <w:rPr>
                <w:lang w:val="en-NZ"/>
              </w:rPr>
            </w:pPr>
            <w:r w:rsidRPr="00F33B75">
              <w:t>3.5. Source and analyse all available land records related to the area and compile evidence in accordance wi</w:t>
            </w:r>
            <w:r w:rsidRPr="00F33B75">
              <w:t>th purpose of the investigation.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4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List"/>
              <w:rPr>
                <w:lang w:val="en-NZ"/>
              </w:rPr>
            </w:pPr>
            <w:r w:rsidRPr="00F33B75">
              <w:t>4.  Interpret information.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"/>
            </w:pPr>
            <w:r w:rsidRPr="00F33B75">
              <w:t>4.1. Interpret legislation relevant to the jurisdiction.</w:t>
            </w:r>
          </w:p>
          <w:p w:rsidR="00000000" w:rsidRPr="00F33B75" w:rsidP="00F33B75">
            <w:pPr>
              <w:pStyle w:val="List"/>
            </w:pPr>
            <w:r w:rsidRPr="00F33B75">
              <w:t>4.2. Interpret information in tenure related and land use documentation.</w:t>
            </w:r>
          </w:p>
          <w:p w:rsidR="00000000" w:rsidRPr="00F33B75" w:rsidP="00F33B75">
            <w:pPr>
              <w:pStyle w:val="List"/>
            </w:pPr>
            <w:r w:rsidRPr="00F33B75">
              <w:t xml:space="preserve">4.3. Obtain expert assistance for interpretation. </w:t>
            </w:r>
          </w:p>
          <w:p w:rsidR="00000000" w:rsidP="00F33B75">
            <w:pPr>
              <w:pStyle w:val="List"/>
              <w:rPr>
                <w:lang w:val="en-NZ"/>
              </w:rPr>
            </w:pPr>
            <w:r w:rsidRPr="00F33B75">
              <w:t xml:space="preserve">4.4. Identify </w:t>
            </w:r>
            <w:r w:rsidRPr="00F33B75">
              <w:t>and analyse evidence of past and present tenure and land use.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List"/>
              <w:rPr>
                <w:lang w:val="en-NZ"/>
              </w:rPr>
            </w:pPr>
            <w:r w:rsidRPr="00F33B75">
              <w:t>5.  Record investigation findings.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"/>
            </w:pPr>
            <w:r w:rsidRPr="00F33B75">
              <w:t>5.1. Compile chronology of tenure and land use history to address the purpose of investigation.</w:t>
            </w:r>
          </w:p>
          <w:p w:rsidR="00000000" w:rsidRPr="00F33B75" w:rsidP="00F33B75">
            <w:pPr>
              <w:pStyle w:val="List"/>
            </w:pPr>
            <w:r w:rsidRPr="00F33B75">
              <w:t>5.2. Record history to suit intended purpose and audience.</w:t>
            </w:r>
          </w:p>
          <w:p w:rsidR="00000000" w:rsidP="00F33B75">
            <w:pPr>
              <w:pStyle w:val="List"/>
              <w:rPr>
                <w:lang w:val="en-NZ"/>
              </w:rPr>
            </w:pPr>
            <w:r w:rsidRPr="00F33B75">
              <w:t>5.3. Present findings in required format.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List"/>
              <w:rPr>
                <w:lang w:val="en-NZ"/>
              </w:rPr>
            </w:pPr>
            <w:r w:rsidRPr="00F33B75">
              <w:t>6.  Organise plans and diagrams.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"/>
            </w:pPr>
            <w:r w:rsidRPr="00F33B75">
              <w:t>6.1. Establish the purpose of plan or diagram.</w:t>
            </w:r>
          </w:p>
          <w:p w:rsidR="00000000" w:rsidRPr="00F33B75" w:rsidP="00F33B75">
            <w:pPr>
              <w:pStyle w:val="List"/>
            </w:pPr>
            <w:r w:rsidRPr="00F33B75">
              <w:t>6.2. Access and obtain information and resources required to arrange diagram or plan.</w:t>
            </w:r>
          </w:p>
          <w:p w:rsidR="00000000" w:rsidRPr="00F33B75" w:rsidP="00F33B75">
            <w:pPr>
              <w:pStyle w:val="List"/>
            </w:pPr>
            <w:r w:rsidRPr="00F33B75">
              <w:t xml:space="preserve">6.3. Check diagram or plan and confirm that it </w:t>
            </w:r>
            <w:r w:rsidRPr="00F33B75">
              <w:t>suits the intended purpose.</w:t>
            </w:r>
          </w:p>
        </w:tc>
      </w:tr>
    </w:tbl>
    <w:p w:rsidR="00000000" w:rsidRPr="00F33B75" w:rsidP="00F33B75">
      <w:pPr>
        <w:pStyle w:val="BodyText"/>
      </w:pPr>
    </w:p>
    <w:p w:rsidR="00000000" w:rsidRPr="00F33B75" w:rsidP="00F33B75">
      <w:pPr>
        <w:pStyle w:val="AllowPageBreak"/>
      </w:pPr>
    </w:p>
    <w:p w:rsidR="00000000" w:rsidRPr="00F33B75" w:rsidP="00F33B75">
      <w:pPr>
        <w:pStyle w:val="Heading1"/>
      </w:pPr>
      <w:bookmarkStart w:id="6" w:name="O_1216737"/>
      <w:bookmarkEnd w:id="6"/>
      <w:r w:rsidRPr="00F33B7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t xml:space="preserve">Foundation skills essential to performance in this unit, but not explicit in the performance </w:t>
            </w:r>
            <w:r w:rsidRPr="00F33B75">
              <w:t>criteria are listed here, along with a brief context statement.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BodyText"/>
            </w:pPr>
            <w:r w:rsidRPr="00F33B7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rPr>
                <w:rStyle w:val="SpecialBold"/>
              </w:rPr>
              <w:t>DESCRIPTION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t>Reading sk</w:t>
            </w:r>
            <w:r w:rsidRPr="00F33B75">
              <w:t>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ListBullet"/>
              <w:rPr>
                <w:lang w:val="en-NZ"/>
              </w:rPr>
            </w:pPr>
            <w:r w:rsidRPr="00F33B75">
              <w:t>interpret legislation, instruments, organisational policies and procedures relating to tenure and land use history.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Bullet"/>
            </w:pPr>
            <w:r w:rsidRPr="00F33B75">
              <w:t>correspond with internal personnel, applicants and stakeholders on factual and technical matters to gather re</w:t>
            </w:r>
            <w:r w:rsidRPr="00F33B75">
              <w:t xml:space="preserve">quired information </w:t>
            </w:r>
          </w:p>
          <w:p w:rsidR="00000000" w:rsidP="00F33B75">
            <w:pPr>
              <w:pStyle w:val="ListBullet"/>
              <w:rPr>
                <w:lang w:val="en-NZ"/>
              </w:rPr>
            </w:pPr>
            <w:r w:rsidRPr="00F33B75">
              <w:t>use factual information to complete required records and report findings.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Bullet"/>
            </w:pPr>
            <w:r w:rsidRPr="00F33B75">
              <w:t>listen and respond to stakeholder enquiries including in consultative frameworks</w:t>
            </w:r>
          </w:p>
          <w:p w:rsidR="00000000" w:rsidP="00F33B75">
            <w:pPr>
              <w:pStyle w:val="ListBullet"/>
              <w:rPr>
                <w:lang w:val="en-NZ"/>
              </w:rPr>
            </w:pPr>
            <w:r w:rsidRPr="00F33B75">
              <w:t>ask open and closed questions to gather and confi</w:t>
            </w:r>
            <w:r w:rsidRPr="00F33B75">
              <w:t>rm land tenure and historical use.</w:t>
            </w:r>
          </w:p>
        </w:tc>
      </w:tr>
      <w:tr w:rsidTr="00F33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75">
            <w:pPr>
              <w:pStyle w:val="BodyText"/>
              <w:rPr>
                <w:lang w:val="en-NZ"/>
              </w:rPr>
            </w:pPr>
            <w:r w:rsidRPr="00F33B7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75" w:rsidP="00F33B75">
            <w:pPr>
              <w:pStyle w:val="ListBullet"/>
            </w:pPr>
            <w:r w:rsidRPr="00F33B75">
              <w:t>read, interpret, use, and discuss geometric, geospatial and measurement information embedded in maps</w:t>
            </w:r>
          </w:p>
          <w:p w:rsidR="00000000" w:rsidRPr="00F33B75" w:rsidP="00F33B75">
            <w:pPr>
              <w:pStyle w:val="ListBullet"/>
            </w:pPr>
            <w:r w:rsidRPr="00F33B75">
              <w:t>address requirements in chronological order.</w:t>
            </w:r>
          </w:p>
        </w:tc>
      </w:tr>
    </w:tbl>
    <w:p w:rsidR="00000000" w:rsidRPr="00F33B75" w:rsidP="00F33B75">
      <w:pPr>
        <w:pStyle w:val="BodyText"/>
      </w:pPr>
    </w:p>
    <w:p w:rsidR="00000000" w:rsidRPr="00F33B75" w:rsidP="00F33B75">
      <w:pPr>
        <w:pStyle w:val="AllowPageBreak"/>
      </w:pPr>
    </w:p>
    <w:p w:rsidR="00000000" w:rsidRPr="00F33B75" w:rsidP="00F33B75">
      <w:pPr>
        <w:pStyle w:val="Heading1"/>
      </w:pPr>
      <w:bookmarkStart w:id="7" w:name="O_1216739"/>
      <w:bookmarkEnd w:id="7"/>
      <w:r w:rsidRPr="00F33B75">
        <w:t>Unit Mapping Information</w:t>
      </w:r>
    </w:p>
    <w:p w:rsidR="00000000" w:rsidRPr="00F33B75" w:rsidP="00B11BB8">
      <w:pPr>
        <w:pStyle w:val="BodyText"/>
      </w:pPr>
      <w:r w:rsidRPr="00F33B75">
        <w:t>Supersedes and is equivalent to PSPLND001 Investigate tenure and land use history.</w:t>
      </w:r>
    </w:p>
    <w:p w:rsidR="00000000" w:rsidRPr="00F33B75" w:rsidP="00F33B75">
      <w:pPr>
        <w:pStyle w:val="Heading1"/>
      </w:pPr>
      <w:bookmarkStart w:id="8" w:name="O_1216746"/>
      <w:bookmarkEnd w:id="8"/>
      <w:r w:rsidRPr="00F33B75">
        <w:t>Links</w:t>
      </w:r>
    </w:p>
    <w:p w:rsidR="00000000" w:rsidRPr="00F33B75" w:rsidP="00B11BB8">
      <w:pPr>
        <w:pStyle w:val="BodyText"/>
      </w:pPr>
      <w:r w:rsidRPr="00F33B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A0E7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3B75" w:rsidP="00F33B75"/>
    <w:sectPr w:rsidSect="00F33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75" w:rsidRPr="00B11BB8" w:rsidP="00B11B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8" w:rsidP="00F33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BB8" w:rsidP="00F33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1BB8" w:rsidP="00F33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B75" w:rsidRPr="00B11BB8" w:rsidP="00B11B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8" w:rsidRPr="002D2AF8" w:rsidP="00F33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PSPLND013 Investigate tenure and land use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11BB8" w:rsidP="00F33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48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E296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B75"/>
  </w:style>
  <w:style w:type="character" w:customStyle="1" w:styleId="Heading1Char">
    <w:name w:val="Heading 1 Char"/>
    <w:basedOn w:val="DefaultParagraphFont"/>
    <w:link w:val="Heading1"/>
    <w:rsid w:val="00F33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B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3B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B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B75"/>
    <w:rPr>
      <w:b/>
      <w:spacing w:val="0"/>
    </w:rPr>
  </w:style>
  <w:style w:type="character" w:styleId="Emphasis">
    <w:name w:val="Emphasis"/>
    <w:basedOn w:val="DefaultParagraphFont"/>
    <w:qFormat/>
    <w:rsid w:val="00F33B75"/>
    <w:rPr>
      <w:i/>
    </w:rPr>
  </w:style>
  <w:style w:type="paragraph" w:customStyle="1" w:styleId="SuperHeading">
    <w:name w:val="SuperHeading"/>
    <w:basedOn w:val="Normal"/>
    <w:rsid w:val="00F33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B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3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B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B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B75"/>
  </w:style>
  <w:style w:type="paragraph" w:styleId="TableofFigures">
    <w:name w:val="table of figures"/>
    <w:basedOn w:val="Normal"/>
    <w:next w:val="Normal"/>
    <w:semiHidden/>
    <w:rsid w:val="00F33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B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B75"/>
    <w:rPr>
      <w:rFonts w:ascii="Wingdings" w:hAnsi="Wingdings"/>
    </w:rPr>
  </w:style>
  <w:style w:type="paragraph" w:customStyle="1" w:styleId="TableHeading">
    <w:name w:val="Table Heading"/>
    <w:basedOn w:val="HeadingBase"/>
    <w:rsid w:val="00F33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B75"/>
    <w:rPr>
      <w:color w:val="0033CC"/>
      <w:u w:val="none"/>
    </w:rPr>
  </w:style>
  <w:style w:type="paragraph" w:customStyle="1" w:styleId="BodyTextRight">
    <w:name w:val="Body Text Right"/>
    <w:basedOn w:val="BodyText"/>
    <w:rsid w:val="00F33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B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B75"/>
    <w:rPr>
      <w:sz w:val="32"/>
    </w:rPr>
  </w:style>
  <w:style w:type="paragraph" w:customStyle="1" w:styleId="HeadingProcedure">
    <w:name w:val="Heading Procedure"/>
    <w:basedOn w:val="HeadingBase"/>
    <w:next w:val="Normal"/>
    <w:rsid w:val="00F33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B75"/>
    <w:pPr>
      <w:spacing w:before="60" w:after="60"/>
    </w:pPr>
  </w:style>
  <w:style w:type="paragraph" w:styleId="ListContinue">
    <w:name w:val="List Continue"/>
    <w:basedOn w:val="List"/>
    <w:rsid w:val="00F33B75"/>
    <w:pPr>
      <w:ind w:firstLine="0"/>
    </w:pPr>
  </w:style>
  <w:style w:type="paragraph" w:customStyle="1" w:styleId="ListNote">
    <w:name w:val="List Note"/>
    <w:basedOn w:val="List"/>
    <w:rsid w:val="00F33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B75"/>
    <w:rPr>
      <w:rFonts w:ascii="Courier New" w:hAnsi="Courier New"/>
    </w:rPr>
  </w:style>
  <w:style w:type="paragraph" w:customStyle="1" w:styleId="NoteBullet">
    <w:name w:val="Note Bullet"/>
    <w:basedOn w:val="Note"/>
    <w:rsid w:val="00F33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B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B75"/>
    <w:rPr>
      <w:b/>
      <w:smallCaps/>
    </w:rPr>
  </w:style>
  <w:style w:type="paragraph" w:customStyle="1" w:styleId="TableListNumber">
    <w:name w:val="Table List Number"/>
    <w:basedOn w:val="ListNumber"/>
    <w:rsid w:val="00F33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B75"/>
    <w:pPr>
      <w:numPr>
        <w:numId w:val="8"/>
      </w:numPr>
    </w:pPr>
  </w:style>
  <w:style w:type="paragraph" w:customStyle="1" w:styleId="ListAlpha2">
    <w:name w:val="List Alpha 2"/>
    <w:basedOn w:val="List2"/>
    <w:rsid w:val="00F33B75"/>
    <w:pPr>
      <w:numPr>
        <w:numId w:val="7"/>
      </w:numPr>
    </w:pPr>
  </w:style>
  <w:style w:type="paragraph" w:styleId="List2">
    <w:name w:val="List 2"/>
    <w:basedOn w:val="BodyText"/>
    <w:rsid w:val="00F33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B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B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B75"/>
    <w:pPr>
      <w:numPr>
        <w:numId w:val="3"/>
      </w:numPr>
    </w:pPr>
  </w:style>
  <w:style w:type="paragraph" w:styleId="ListContinue2">
    <w:name w:val="List Continue 2"/>
    <w:basedOn w:val="List2"/>
    <w:rsid w:val="00F33B75"/>
    <w:pPr>
      <w:ind w:firstLine="0"/>
    </w:pPr>
  </w:style>
  <w:style w:type="paragraph" w:styleId="ListContinue3">
    <w:name w:val="List Continue 3"/>
    <w:basedOn w:val="List3"/>
    <w:rsid w:val="00F33B75"/>
    <w:pPr>
      <w:ind w:left="1021" w:firstLine="0"/>
    </w:pPr>
  </w:style>
  <w:style w:type="paragraph" w:styleId="ListContinue4">
    <w:name w:val="List Continue 4"/>
    <w:basedOn w:val="List4"/>
    <w:rsid w:val="00F33B75"/>
    <w:pPr>
      <w:ind w:firstLine="0"/>
    </w:pPr>
  </w:style>
  <w:style w:type="paragraph" w:styleId="ListContinue5">
    <w:name w:val="List Continue 5"/>
    <w:basedOn w:val="List5"/>
    <w:rsid w:val="00F33B75"/>
    <w:pPr>
      <w:ind w:firstLine="0"/>
    </w:pPr>
  </w:style>
  <w:style w:type="paragraph" w:styleId="ListNumber3">
    <w:name w:val="List Number 3"/>
    <w:basedOn w:val="List3"/>
    <w:rsid w:val="00F33B75"/>
    <w:pPr>
      <w:numPr>
        <w:numId w:val="4"/>
      </w:numPr>
    </w:pPr>
  </w:style>
  <w:style w:type="paragraph" w:styleId="ListNumber4">
    <w:name w:val="List Number 4"/>
    <w:basedOn w:val="List4"/>
    <w:rsid w:val="00F33B75"/>
    <w:pPr>
      <w:numPr>
        <w:numId w:val="5"/>
      </w:numPr>
    </w:pPr>
  </w:style>
  <w:style w:type="paragraph" w:styleId="ListNumber5">
    <w:name w:val="List Number 5"/>
    <w:basedOn w:val="List5"/>
    <w:rsid w:val="00F33B75"/>
    <w:pPr>
      <w:numPr>
        <w:numId w:val="6"/>
      </w:numPr>
    </w:pPr>
  </w:style>
  <w:style w:type="paragraph" w:styleId="BlockText">
    <w:name w:val="Block Text"/>
    <w:basedOn w:val="Normal"/>
    <w:rsid w:val="00F33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B75"/>
    <w:rPr>
      <w:sz w:val="16"/>
      <w:vertAlign w:val="superscript"/>
    </w:rPr>
  </w:style>
  <w:style w:type="character" w:customStyle="1" w:styleId="Symbols">
    <w:name w:val="Symbols"/>
    <w:basedOn w:val="DefaultParagraphFont"/>
    <w:rsid w:val="00F33B75"/>
    <w:rPr>
      <w:rFonts w:ascii="Symbol" w:hAnsi="Symbol"/>
    </w:rPr>
  </w:style>
  <w:style w:type="character" w:customStyle="1" w:styleId="MenuOptions">
    <w:name w:val="Menu Options"/>
    <w:basedOn w:val="DefaultParagraphFont"/>
    <w:rsid w:val="00F33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B75"/>
    <w:rPr>
      <w:b/>
    </w:rPr>
  </w:style>
  <w:style w:type="character" w:customStyle="1" w:styleId="Underlined">
    <w:name w:val="Underlined"/>
    <w:basedOn w:val="DefaultParagraphFont"/>
    <w:rsid w:val="00F33B75"/>
    <w:rPr>
      <w:u w:val="single"/>
    </w:rPr>
  </w:style>
  <w:style w:type="paragraph" w:customStyle="1" w:styleId="TableBodyTextRight">
    <w:name w:val="Table Body Text Right"/>
    <w:basedOn w:val="TableBodyText"/>
    <w:rsid w:val="00F33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B75"/>
    <w:rPr>
      <w:sz w:val="18"/>
    </w:rPr>
  </w:style>
  <w:style w:type="paragraph" w:customStyle="1" w:styleId="BodySmallRight">
    <w:name w:val="Body Small Right"/>
    <w:basedOn w:val="BodyTextRight"/>
    <w:rsid w:val="00F33B75"/>
    <w:rPr>
      <w:sz w:val="18"/>
      <w:szCs w:val="18"/>
    </w:rPr>
  </w:style>
  <w:style w:type="paragraph" w:customStyle="1" w:styleId="MarginEdition">
    <w:name w:val="Margin Edition"/>
    <w:basedOn w:val="MarginNote"/>
    <w:rsid w:val="00F33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B75"/>
    <w:rPr>
      <w:sz w:val="2"/>
      <w:szCs w:val="2"/>
    </w:rPr>
  </w:style>
  <w:style w:type="character" w:customStyle="1" w:styleId="Small">
    <w:name w:val="Small"/>
    <w:basedOn w:val="DefaultParagraphFont"/>
    <w:rsid w:val="00F33B75"/>
    <w:rPr>
      <w:sz w:val="16"/>
    </w:rPr>
  </w:style>
  <w:style w:type="paragraph" w:customStyle="1" w:styleId="WideTable">
    <w:name w:val="Wide Table"/>
    <w:basedOn w:val="Normal"/>
    <w:rsid w:val="00F33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B75"/>
  </w:style>
  <w:style w:type="paragraph" w:styleId="Quote">
    <w:name w:val="Quote"/>
    <w:basedOn w:val="Heading1"/>
    <w:link w:val="QuoteChar"/>
    <w:qFormat/>
    <w:rsid w:val="00F33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B75"/>
    <w:pPr>
      <w:pageBreakBefore/>
    </w:pPr>
  </w:style>
  <w:style w:type="paragraph" w:customStyle="1" w:styleId="Border">
    <w:name w:val="Border"/>
    <w:basedOn w:val="Normal"/>
    <w:qFormat/>
    <w:rsid w:val="00F33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B75"/>
    <w:rPr>
      <w:u w:val="single"/>
    </w:rPr>
  </w:style>
  <w:style w:type="character" w:customStyle="1" w:styleId="BoldandItalics">
    <w:name w:val="Bold and Italics"/>
    <w:qFormat/>
    <w:rsid w:val="00F33B75"/>
    <w:rPr>
      <w:b/>
      <w:i/>
      <w:u w:val="none"/>
    </w:rPr>
  </w:style>
  <w:style w:type="paragraph" w:styleId="BalloonText">
    <w:name w:val="Balloon Text"/>
    <w:basedOn w:val="Normal"/>
    <w:link w:val="BalloonTextChar"/>
    <w:rsid w:val="00F33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B75"/>
    <w:pPr>
      <w:spacing w:before="0" w:after="0"/>
    </w:pPr>
  </w:style>
  <w:style w:type="paragraph" w:customStyle="1" w:styleId="BodyTextBold">
    <w:name w:val="Body Text Bold"/>
    <w:basedOn w:val="BodyText"/>
    <w:qFormat/>
    <w:rsid w:val="00F33B75"/>
    <w:rPr>
      <w:b/>
    </w:rPr>
  </w:style>
  <w:style w:type="character" w:styleId="Hyperlink">
    <w:name w:val="Hyperlink"/>
    <w:basedOn w:val="DefaultParagraphFont"/>
    <w:uiPriority w:val="99"/>
    <w:unhideWhenUsed/>
    <w:rsid w:val="00B11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3593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PSPLND013 Investigate tenure and land use history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