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AFB" w:rsidP="00871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PSPLND006 Investigate tenure applications</w:t>
      </w:r>
      <w:r>
        <w:fldChar w:fldCharType="end"/>
      </w:r>
    </w:p>
    <w:p w:rsidR="00871AFB" w:rsidP="00871AFB">
      <w:pPr>
        <w:pStyle w:val="Version"/>
        <w:sectPr w:rsidSect="00156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BAA" w:rsidP="00156BAA">
      <w:pPr>
        <w:pStyle w:val="SuperHeading"/>
      </w:pPr>
      <w:r w:rsidRPr="00156BAA">
        <w:t>PSPLND006 Investigate tenure applications</w:t>
      </w:r>
    </w:p>
    <w:p w:rsidR="00000000" w:rsidRPr="00156BAA" w:rsidP="00156BAA">
      <w:pPr>
        <w:pStyle w:val="Heading1"/>
      </w:pPr>
      <w:bookmarkStart w:id="1" w:name="O_822505"/>
      <w:bookmarkEnd w:id="1"/>
      <w:r w:rsidRPr="00156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71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TableHeading"/>
              <w:rPr>
                <w:lang w:val="en-NZ"/>
              </w:rPr>
            </w:pPr>
            <w:r w:rsidRPr="00156BA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TableHeading"/>
              <w:rPr>
                <w:lang w:val="en-NZ"/>
              </w:rPr>
            </w:pPr>
            <w:r w:rsidRPr="00156BAA">
              <w:t>Comments</w:t>
            </w:r>
          </w:p>
        </w:tc>
      </w:tr>
      <w:tr w:rsidTr="00871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BodyText"/>
              <w:rPr>
                <w:lang w:val="en-NZ"/>
              </w:rPr>
            </w:pPr>
            <w:r w:rsidRPr="00156BA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AA" w:rsidP="00156BAA">
            <w:pPr>
              <w:pStyle w:val="BodyText"/>
            </w:pPr>
            <w:r w:rsidRPr="00156BAA">
              <w:t xml:space="preserve">This unit was released in PSP Public Sector Training Package release 1.0 and meets the Standards for Training Packages. </w:t>
            </w:r>
          </w:p>
          <w:p w:rsidR="00000000" w:rsidRPr="00156BAA" w:rsidP="00156BAA">
            <w:pPr>
              <w:pStyle w:val="BodyText"/>
            </w:pPr>
          </w:p>
          <w:p w:rsidR="00000000" w:rsidRPr="00156BAA" w:rsidP="00156BAA">
            <w:pPr>
              <w:pStyle w:val="BodyText"/>
            </w:pPr>
            <w:r w:rsidRPr="00156BAA">
              <w:t>This unit supersedes and is equivalent to PSPLAND404A Investigate tenure applications.</w:t>
            </w:r>
          </w:p>
          <w:p w:rsidR="00000000" w:rsidRPr="00156BAA" w:rsidP="00156BAA">
            <w:pPr>
              <w:pStyle w:val="BodyText"/>
            </w:pPr>
          </w:p>
          <w:p w:rsidR="00000000" w:rsidRPr="00156BAA" w:rsidP="00156BAA">
            <w:pPr>
              <w:pStyle w:val="ListBullet"/>
            </w:pPr>
            <w:r w:rsidRPr="00156BAA">
              <w:t>Unit</w:t>
            </w:r>
            <w:r w:rsidRPr="00156BAA">
              <w:t xml:space="preserve"> code updated</w:t>
            </w:r>
          </w:p>
          <w:p w:rsidR="00000000" w:rsidRPr="00156BAA" w:rsidP="00156BAA">
            <w:pPr>
              <w:pStyle w:val="ListBullet"/>
            </w:pPr>
            <w:r w:rsidRPr="00156BAA">
              <w:t>Content and formatting updated to comply with new standards</w:t>
            </w:r>
          </w:p>
          <w:p w:rsidR="00000000" w:rsidRPr="00156BAA" w:rsidP="00156BAA">
            <w:pPr>
              <w:pStyle w:val="ListBullet"/>
            </w:pPr>
            <w:r w:rsidRPr="00156BAA">
              <w:t>All PC transitioned from passive to active voice</w:t>
            </w:r>
          </w:p>
        </w:tc>
      </w:tr>
    </w:tbl>
    <w:p w:rsidR="00000000" w:rsidRPr="00156BAA" w:rsidP="00156BAA">
      <w:pPr>
        <w:pStyle w:val="BodyText"/>
      </w:pPr>
    </w:p>
    <w:p w:rsidR="00000000" w:rsidRPr="00156BAA" w:rsidP="00156BAA">
      <w:pPr>
        <w:pStyle w:val="AllowPageBreak"/>
      </w:pPr>
    </w:p>
    <w:p w:rsidR="00000000" w:rsidRPr="00156BAA" w:rsidP="00156BAA">
      <w:pPr>
        <w:pStyle w:val="Heading1"/>
      </w:pPr>
      <w:bookmarkStart w:id="2" w:name="O_822506"/>
      <w:bookmarkEnd w:id="2"/>
      <w:r w:rsidRPr="00156BAA">
        <w:t>Application</w:t>
      </w:r>
    </w:p>
    <w:p w:rsidR="00000000" w:rsidRPr="00156BAA" w:rsidP="00871AFB">
      <w:pPr>
        <w:pStyle w:val="BodyText"/>
      </w:pPr>
      <w:r w:rsidRPr="00156BAA">
        <w:t>This unit describes the skills required to investigate tenure applications. It includes preparing complex land tenure and ownership reports, setting tenure conditions and/or covenants, determining rental, and providing advice on tenure administration.</w:t>
      </w:r>
    </w:p>
    <w:p w:rsidR="00000000" w:rsidRPr="00156BAA" w:rsidP="00871AFB">
      <w:pPr>
        <w:pStyle w:val="BodyText"/>
      </w:pPr>
      <w:r w:rsidRPr="00156BAA">
        <w:t>Thi</w:t>
      </w:r>
      <w:r w:rsidRPr="00156BAA">
        <w:t>s unit applies to those working in administration roles working with tenure applications.</w:t>
      </w:r>
    </w:p>
    <w:p w:rsidR="00000000" w:rsidRPr="00156BAA" w:rsidP="00871AFB">
      <w:pPr>
        <w:pStyle w:val="BodyText"/>
      </w:pPr>
      <w:r w:rsidRPr="00156BAA">
        <w:t>The skills and knowledge described in this unit must be applied within the legislative, regulatory and policy environment in which they are carried out. Organisation</w:t>
      </w:r>
      <w:r w:rsidRPr="00156BAA">
        <w:t>al policies and procedures must be consulted and adhered to.</w:t>
      </w:r>
    </w:p>
    <w:p w:rsidR="00000000" w:rsidRPr="00156BAA" w:rsidP="00871AFB">
      <w:pPr>
        <w:pStyle w:val="BodyText"/>
      </w:pPr>
      <w:r w:rsidRPr="00156BAA">
        <w:t>Those undertaking this unit would work independently, performing complex tasks in a range of familiar contexts.</w:t>
      </w:r>
    </w:p>
    <w:p w:rsidR="00871AFB" w:rsidP="00871AFB">
      <w:pPr>
        <w:pStyle w:val="BodyText"/>
      </w:pPr>
      <w:r w:rsidRPr="00156BAA">
        <w:t>No licensing, legislative or certification requirements apply to unit at the time</w:t>
      </w:r>
      <w:r w:rsidRPr="00156BAA">
        <w:t xml:space="preserve"> of publication.</w:t>
      </w:r>
    </w:p>
    <w:p w:rsidR="00000000" w:rsidRPr="00156BAA" w:rsidP="00156BAA">
      <w:pPr>
        <w:pStyle w:val="Heading1"/>
      </w:pPr>
      <w:bookmarkStart w:id="3" w:name="O_822508"/>
      <w:bookmarkEnd w:id="3"/>
      <w:r w:rsidRPr="00156BAA">
        <w:t>Competency Field</w:t>
      </w:r>
    </w:p>
    <w:p w:rsidR="00000000" w:rsidRPr="00156BAA" w:rsidP="00871AFB">
      <w:pPr>
        <w:pStyle w:val="BodyText"/>
      </w:pPr>
      <w:r w:rsidRPr="00156BAA">
        <w:t>Public land administration</w:t>
      </w:r>
    </w:p>
    <w:p w:rsidR="00000000" w:rsidRPr="00156BAA" w:rsidP="00156BAA">
      <w:pPr>
        <w:pStyle w:val="Heading1"/>
      </w:pPr>
      <w:bookmarkStart w:id="4" w:name="O_822510"/>
      <w:bookmarkEnd w:id="4"/>
      <w:r w:rsidRPr="00156B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156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TableHeading"/>
              <w:rPr>
                <w:lang w:val="en-NZ"/>
              </w:rPr>
            </w:pPr>
            <w:r w:rsidRPr="00156BA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TableHeading"/>
              <w:rPr>
                <w:lang w:val="en-NZ"/>
              </w:rPr>
            </w:pPr>
            <w:r w:rsidRPr="00156BAA">
              <w:t>PERFORMANCE CRITERIA</w:t>
            </w:r>
          </w:p>
        </w:tc>
      </w:tr>
      <w:tr w:rsidTr="00156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BodyText"/>
              <w:rPr>
                <w:lang w:val="en-NZ"/>
              </w:rPr>
            </w:pPr>
            <w:r w:rsidRPr="00156BA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BodyText"/>
              <w:rPr>
                <w:lang w:val="en-NZ"/>
              </w:rPr>
            </w:pPr>
            <w:r w:rsidRPr="00156BA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156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List"/>
              <w:rPr>
                <w:lang w:val="en-NZ"/>
              </w:rPr>
            </w:pPr>
            <w:r w:rsidRPr="00156BAA">
              <w:rPr>
                <w:rStyle w:val="SpecialBold"/>
              </w:rPr>
              <w:t>1.</w:t>
            </w:r>
            <w:r w:rsidRPr="00156BAA">
              <w:rPr>
                <w:rStyle w:val="SpecialBold"/>
              </w:rPr>
              <w:tab/>
              <w:t>Prepare a complex land tenure and/or  ownership repo</w:t>
            </w:r>
            <w:r w:rsidRPr="00156BAA">
              <w:rPr>
                <w:rStyle w:val="SpecialBold"/>
              </w:rPr>
              <w:t>rt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AA" w:rsidP="00156BAA">
            <w:pPr>
              <w:pStyle w:val="List"/>
            </w:pPr>
            <w:r w:rsidRPr="00156BAA">
              <w:t>1.1</w:t>
            </w:r>
            <w:r w:rsidRPr="00156BAA">
              <w:tab/>
              <w:t>Establish the purpose of the land tenure and/or ownership report.</w:t>
            </w:r>
          </w:p>
          <w:p w:rsidR="00000000" w:rsidRPr="00156BAA" w:rsidP="00156BAA">
            <w:pPr>
              <w:pStyle w:val="List"/>
            </w:pPr>
            <w:r w:rsidRPr="00156BAA">
              <w:t>1.2</w:t>
            </w:r>
            <w:r w:rsidRPr="00156BAA">
              <w:tab/>
              <w:t>Establish extent of the area of the report.</w:t>
            </w:r>
          </w:p>
          <w:p w:rsidR="00000000" w:rsidRPr="00156BAA" w:rsidP="00156BAA">
            <w:pPr>
              <w:pStyle w:val="List"/>
            </w:pPr>
            <w:r w:rsidRPr="00156BAA">
              <w:t>1.3</w:t>
            </w:r>
            <w:r w:rsidRPr="00156BAA">
              <w:tab/>
              <w:t>Gather information required for the report.</w:t>
            </w:r>
          </w:p>
          <w:p w:rsidR="00000000" w:rsidRPr="00156BAA" w:rsidP="00156BAA">
            <w:pPr>
              <w:pStyle w:val="List"/>
            </w:pPr>
            <w:r w:rsidRPr="00156BAA">
              <w:t>1.4</w:t>
            </w:r>
            <w:r w:rsidRPr="00156BAA">
              <w:tab/>
              <w:t>Analyse and interpret information to determine the current land tenure and ownershi</w:t>
            </w:r>
            <w:r w:rsidRPr="00156BAA">
              <w:t>p of the area.</w:t>
            </w:r>
          </w:p>
          <w:p w:rsidR="00000000" w:rsidP="00156BAA">
            <w:pPr>
              <w:pStyle w:val="List"/>
              <w:rPr>
                <w:lang w:val="en-NZ"/>
              </w:rPr>
            </w:pPr>
            <w:r w:rsidRPr="00156BAA">
              <w:t>1.5</w:t>
            </w:r>
            <w:r w:rsidRPr="00156BAA">
              <w:tab/>
              <w:t>Prepare report and accompanying documentation.</w:t>
            </w:r>
          </w:p>
        </w:tc>
      </w:tr>
      <w:tr w:rsidTr="00156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List"/>
              <w:rPr>
                <w:lang w:val="en-NZ"/>
              </w:rPr>
            </w:pPr>
            <w:r w:rsidRPr="00156BAA">
              <w:rPr>
                <w:rStyle w:val="SpecialBold"/>
              </w:rPr>
              <w:t>2.</w:t>
            </w:r>
            <w:r w:rsidRPr="00156BAA">
              <w:rPr>
                <w:rStyle w:val="SpecialBold"/>
              </w:rPr>
              <w:tab/>
              <w:t>Set tenure conditions and/or covenants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AA" w:rsidP="00156BAA">
            <w:pPr>
              <w:pStyle w:val="List"/>
            </w:pPr>
            <w:r w:rsidRPr="00156BAA">
              <w:t>2.1</w:t>
            </w:r>
            <w:r w:rsidRPr="00156BAA">
              <w:tab/>
              <w:t>Establish the need to impose tenure conditions and/or covenants.</w:t>
            </w:r>
          </w:p>
          <w:p w:rsidR="00000000" w:rsidRPr="00156BAA" w:rsidP="00156BAA">
            <w:pPr>
              <w:pStyle w:val="List"/>
            </w:pPr>
            <w:r w:rsidRPr="00156BAA">
              <w:t>2.2</w:t>
            </w:r>
            <w:r w:rsidRPr="00156BAA">
              <w:tab/>
              <w:t>Prepare conditions and/or covenants.</w:t>
            </w:r>
          </w:p>
          <w:p w:rsidR="00000000" w:rsidRPr="00156BAA" w:rsidP="00156BAA">
            <w:pPr>
              <w:pStyle w:val="List"/>
            </w:pPr>
            <w:r w:rsidRPr="00156BAA">
              <w:t>2.3</w:t>
            </w:r>
            <w:r w:rsidRPr="00156BAA">
              <w:tab/>
              <w:t>Negotiate acceptance of condition</w:t>
            </w:r>
            <w:r w:rsidRPr="00156BAA">
              <w:t>s or covenants with affected parties.</w:t>
            </w:r>
          </w:p>
          <w:p w:rsidR="00000000" w:rsidP="00156BAA">
            <w:pPr>
              <w:pStyle w:val="List"/>
              <w:rPr>
                <w:lang w:val="en-NZ"/>
              </w:rPr>
            </w:pPr>
            <w:r w:rsidRPr="00156BAA">
              <w:t>2.4</w:t>
            </w:r>
            <w:r w:rsidRPr="00156BAA">
              <w:tab/>
              <w:t>Direct final documentation to the appropriate personnel for action.</w:t>
            </w:r>
          </w:p>
        </w:tc>
      </w:tr>
      <w:tr w:rsidTr="00156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List"/>
              <w:rPr>
                <w:lang w:val="en-NZ"/>
              </w:rPr>
            </w:pPr>
            <w:r w:rsidRPr="00156BAA">
              <w:rPr>
                <w:rStyle w:val="SpecialBold"/>
              </w:rPr>
              <w:t>3.</w:t>
            </w:r>
            <w:r w:rsidRPr="00156BAA">
              <w:rPr>
                <w:rStyle w:val="SpecialBold"/>
              </w:rPr>
              <w:tab/>
              <w:t>Determine rental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AA" w:rsidP="00156BAA">
            <w:pPr>
              <w:pStyle w:val="List"/>
            </w:pPr>
            <w:r w:rsidRPr="00156BAA">
              <w:t>3.1</w:t>
            </w:r>
            <w:r w:rsidRPr="00156BAA">
              <w:tab/>
              <w:t>Gather information required to determine rental or rebate.</w:t>
            </w:r>
          </w:p>
          <w:p w:rsidR="00000000" w:rsidRPr="00156BAA" w:rsidP="00156BAA">
            <w:pPr>
              <w:pStyle w:val="List"/>
            </w:pPr>
            <w:r w:rsidRPr="00156BAA">
              <w:t>3.2</w:t>
            </w:r>
            <w:r w:rsidRPr="00156BAA">
              <w:tab/>
              <w:t>Negotiate rental with applicant.</w:t>
            </w:r>
          </w:p>
          <w:p w:rsidR="00000000" w:rsidP="00156BAA">
            <w:pPr>
              <w:pStyle w:val="List"/>
              <w:rPr>
                <w:lang w:val="en-NZ"/>
              </w:rPr>
            </w:pPr>
            <w:r w:rsidRPr="00156BAA">
              <w:t>3.3</w:t>
            </w:r>
            <w:r w:rsidRPr="00156BAA">
              <w:tab/>
              <w:t>Record rental informa</w:t>
            </w:r>
            <w:r w:rsidRPr="00156BAA">
              <w:t>tion.</w:t>
            </w:r>
          </w:p>
        </w:tc>
      </w:tr>
      <w:tr w:rsidTr="00156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0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AA">
            <w:pPr>
              <w:pStyle w:val="List"/>
              <w:rPr>
                <w:lang w:val="en-NZ"/>
              </w:rPr>
            </w:pPr>
            <w:r w:rsidRPr="00156BAA">
              <w:rPr>
                <w:rStyle w:val="SpecialBold"/>
              </w:rPr>
              <w:t>4.</w:t>
            </w:r>
            <w:r w:rsidRPr="00156BAA">
              <w:rPr>
                <w:rStyle w:val="SpecialBold"/>
              </w:rPr>
              <w:tab/>
              <w:t>Advise on tenure administration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AA" w:rsidP="00156BAA">
            <w:pPr>
              <w:pStyle w:val="List"/>
            </w:pPr>
            <w:r w:rsidRPr="00156BAA">
              <w:t>4.1</w:t>
            </w:r>
            <w:r w:rsidRPr="00156BAA">
              <w:tab/>
              <w:t>Establish scope and type of advice that needs to be provided.</w:t>
            </w:r>
          </w:p>
          <w:p w:rsidR="00000000" w:rsidRPr="00156BAA" w:rsidP="00156BAA">
            <w:pPr>
              <w:pStyle w:val="List"/>
            </w:pPr>
            <w:r w:rsidRPr="00156BAA">
              <w:t>4.2</w:t>
            </w:r>
            <w:r w:rsidRPr="00156BAA">
              <w:tab/>
              <w:t>Identify and explain organisational procedures or standards associated with the advice.</w:t>
            </w:r>
          </w:p>
          <w:p w:rsidR="00000000" w:rsidRPr="00156BAA" w:rsidP="00156BAA">
            <w:pPr>
              <w:pStyle w:val="List"/>
            </w:pPr>
            <w:r w:rsidRPr="00156BAA">
              <w:t>4.3</w:t>
            </w:r>
            <w:r w:rsidRPr="00156BAA">
              <w:tab/>
            </w:r>
            <w:r w:rsidRPr="00156BAA">
              <w:t>Provide advice that is accurate, current and explained in a manner suited to the person requiring it.</w:t>
            </w:r>
          </w:p>
        </w:tc>
      </w:tr>
    </w:tbl>
    <w:p w:rsidR="00871AFB" w:rsidP="00156BAA">
      <w:pPr>
        <w:pStyle w:val="BodyText"/>
      </w:pPr>
    </w:p>
    <w:p w:rsidR="00871AFB" w:rsidP="00156BAA">
      <w:pPr>
        <w:pStyle w:val="BodyText"/>
      </w:pPr>
    </w:p>
    <w:p w:rsidR="00000000" w:rsidRPr="00156BAA" w:rsidP="00156BAA">
      <w:pPr>
        <w:pStyle w:val="Heading1"/>
      </w:pPr>
      <w:bookmarkStart w:id="5" w:name="O_822511"/>
      <w:bookmarkEnd w:id="5"/>
      <w:r w:rsidRPr="00156BAA">
        <w:t>Foundation Skills</w:t>
      </w:r>
    </w:p>
    <w:p w:rsidR="00000000" w:rsidRPr="00156BAA" w:rsidP="00871AFB">
      <w:pPr>
        <w:pStyle w:val="BodyText"/>
      </w:pPr>
      <w:r w:rsidRPr="00156BAA">
        <w:t>Foundation skills are embedded within the elements and performance criteria of this unit.</w:t>
      </w:r>
    </w:p>
    <w:p w:rsidR="00000000" w:rsidRPr="00156BAA" w:rsidP="00156BAA">
      <w:pPr>
        <w:pStyle w:val="Heading1"/>
      </w:pPr>
      <w:bookmarkStart w:id="6" w:name="O_822513"/>
      <w:bookmarkEnd w:id="6"/>
      <w:r w:rsidRPr="00156BAA">
        <w:t>Unit Mapp</w:t>
      </w:r>
      <w:r w:rsidRPr="00156BAA">
        <w:t>ing Information</w:t>
      </w:r>
    </w:p>
    <w:p w:rsidR="00000000" w:rsidRPr="00156BAA" w:rsidP="00871AFB">
      <w:pPr>
        <w:pStyle w:val="BodyText"/>
      </w:pPr>
      <w:r w:rsidRPr="00156BAA">
        <w:t>This unit supersedes and is equivalent to PSPLAND404A Investigate tenure applications.</w:t>
      </w:r>
    </w:p>
    <w:p w:rsidR="00000000" w:rsidRPr="00156BAA" w:rsidP="00156BAA">
      <w:pPr>
        <w:pStyle w:val="Heading1"/>
      </w:pPr>
      <w:bookmarkStart w:id="7" w:name="O_822520"/>
      <w:bookmarkEnd w:id="7"/>
      <w:r w:rsidRPr="00156BAA">
        <w:t>Links</w:t>
      </w:r>
    </w:p>
    <w:p w:rsidR="00000000" w:rsidRPr="00156BAA" w:rsidP="00871AFB">
      <w:pPr>
        <w:pStyle w:val="BodyText"/>
      </w:pPr>
      <w:r w:rsidRPr="00156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213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56BAA" w:rsidP="00871AFB">
      <w:pPr>
        <w:pStyle w:val="BodyText"/>
      </w:pPr>
      <w:r w:rsidRPr="00156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213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56BAA" w:rsidP="00871AFB">
      <w:pPr>
        <w:pStyle w:val="BodyText"/>
      </w:pPr>
      <w:r w:rsidRPr="00156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213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56BAA" w:rsidP="00871AFB">
      <w:pPr>
        <w:pStyle w:val="BodyText"/>
      </w:pPr>
      <w:r w:rsidRPr="00156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213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56BAA" w:rsidP="00156BAA"/>
    <w:sectPr w:rsidSect="00156B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AA" w:rsidRPr="00871AFB" w:rsidP="00871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FB" w:rsidP="00156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AFB" w:rsidP="00156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1AFB" w:rsidP="00156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BAA" w:rsidRPr="00871AFB" w:rsidP="00871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FB" w:rsidRPr="002D2AF8" w:rsidP="00156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PSPLND006 Investigate tenure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871AFB" w:rsidP="00156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745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1639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BAA"/>
  </w:style>
  <w:style w:type="character" w:customStyle="1" w:styleId="Heading1Char">
    <w:name w:val="Heading 1 Char"/>
    <w:basedOn w:val="DefaultParagraphFont"/>
    <w:link w:val="Heading1"/>
    <w:rsid w:val="00156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B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6B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6B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BAA"/>
    <w:rPr>
      <w:b/>
      <w:spacing w:val="0"/>
    </w:rPr>
  </w:style>
  <w:style w:type="paragraph" w:customStyle="1" w:styleId="SuperHeading">
    <w:name w:val="SuperHeading"/>
    <w:basedOn w:val="Normal"/>
    <w:rsid w:val="00156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6B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6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B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6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B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BAA"/>
    <w:rPr>
      <w:i/>
    </w:rPr>
  </w:style>
  <w:style w:type="paragraph" w:styleId="Caption">
    <w:name w:val="caption"/>
    <w:basedOn w:val="BodyText"/>
    <w:next w:val="Normal"/>
    <w:qFormat/>
    <w:rsid w:val="00156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BAA"/>
  </w:style>
  <w:style w:type="paragraph" w:styleId="TableofFigures">
    <w:name w:val="table of figures"/>
    <w:basedOn w:val="Normal"/>
    <w:next w:val="Normal"/>
    <w:semiHidden/>
    <w:rsid w:val="00156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B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BAA"/>
    <w:rPr>
      <w:rFonts w:ascii="Wingdings" w:hAnsi="Wingdings"/>
    </w:rPr>
  </w:style>
  <w:style w:type="character" w:customStyle="1" w:styleId="HotSpot">
    <w:name w:val="HotSpot"/>
    <w:rsid w:val="00156BAA"/>
    <w:rPr>
      <w:color w:val="0033CC"/>
      <w:u w:val="none"/>
    </w:rPr>
  </w:style>
  <w:style w:type="paragraph" w:customStyle="1" w:styleId="BodyTextRight">
    <w:name w:val="Body Text Right"/>
    <w:basedOn w:val="BodyText"/>
    <w:rsid w:val="00156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B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BAA"/>
    <w:rPr>
      <w:sz w:val="32"/>
    </w:rPr>
  </w:style>
  <w:style w:type="paragraph" w:customStyle="1" w:styleId="HeadingProcedure">
    <w:name w:val="Heading Procedure"/>
    <w:basedOn w:val="HeadingBase"/>
    <w:next w:val="Normal"/>
    <w:rsid w:val="00156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BAA"/>
    <w:pPr>
      <w:spacing w:before="60" w:after="60"/>
    </w:pPr>
  </w:style>
  <w:style w:type="paragraph" w:styleId="ListContinue">
    <w:name w:val="List Continue"/>
    <w:basedOn w:val="List"/>
    <w:rsid w:val="00156BAA"/>
    <w:pPr>
      <w:ind w:firstLine="0"/>
    </w:pPr>
  </w:style>
  <w:style w:type="paragraph" w:customStyle="1" w:styleId="ListNote">
    <w:name w:val="List Note"/>
    <w:basedOn w:val="List"/>
    <w:rsid w:val="00156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BAA"/>
    <w:rPr>
      <w:rFonts w:ascii="Courier New" w:hAnsi="Courier New"/>
    </w:rPr>
  </w:style>
  <w:style w:type="paragraph" w:customStyle="1" w:styleId="NoteBullet">
    <w:name w:val="Note Bullet"/>
    <w:basedOn w:val="Note"/>
    <w:rsid w:val="00156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B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BAA"/>
    <w:rPr>
      <w:b/>
      <w:smallCaps/>
    </w:rPr>
  </w:style>
  <w:style w:type="paragraph" w:customStyle="1" w:styleId="TableListNumber">
    <w:name w:val="Table List Number"/>
    <w:basedOn w:val="ListNumber"/>
    <w:rsid w:val="00156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BAA"/>
    <w:pPr>
      <w:numPr>
        <w:numId w:val="8"/>
      </w:numPr>
    </w:pPr>
  </w:style>
  <w:style w:type="paragraph" w:customStyle="1" w:styleId="ListAlpha2">
    <w:name w:val="List Alpha 2"/>
    <w:basedOn w:val="List2"/>
    <w:rsid w:val="00156BAA"/>
    <w:pPr>
      <w:numPr>
        <w:numId w:val="7"/>
      </w:numPr>
    </w:pPr>
  </w:style>
  <w:style w:type="paragraph" w:styleId="List2">
    <w:name w:val="List 2"/>
    <w:basedOn w:val="BodyText"/>
    <w:rsid w:val="00156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B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B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BAA"/>
    <w:pPr>
      <w:numPr>
        <w:numId w:val="3"/>
      </w:numPr>
    </w:pPr>
  </w:style>
  <w:style w:type="paragraph" w:styleId="ListContinue2">
    <w:name w:val="List Continue 2"/>
    <w:basedOn w:val="List2"/>
    <w:rsid w:val="00156BAA"/>
    <w:pPr>
      <w:ind w:firstLine="0"/>
    </w:pPr>
  </w:style>
  <w:style w:type="paragraph" w:styleId="ListContinue3">
    <w:name w:val="List Continue 3"/>
    <w:basedOn w:val="List3"/>
    <w:rsid w:val="00156BAA"/>
    <w:pPr>
      <w:ind w:left="1021" w:firstLine="0"/>
    </w:pPr>
  </w:style>
  <w:style w:type="paragraph" w:styleId="ListContinue4">
    <w:name w:val="List Continue 4"/>
    <w:basedOn w:val="List4"/>
    <w:rsid w:val="00156BAA"/>
    <w:pPr>
      <w:ind w:firstLine="0"/>
    </w:pPr>
  </w:style>
  <w:style w:type="paragraph" w:styleId="ListContinue5">
    <w:name w:val="List Continue 5"/>
    <w:basedOn w:val="List5"/>
    <w:rsid w:val="00156BAA"/>
    <w:pPr>
      <w:ind w:firstLine="0"/>
    </w:pPr>
  </w:style>
  <w:style w:type="paragraph" w:styleId="ListNumber3">
    <w:name w:val="List Number 3"/>
    <w:basedOn w:val="List3"/>
    <w:rsid w:val="00156BAA"/>
    <w:pPr>
      <w:numPr>
        <w:numId w:val="4"/>
      </w:numPr>
    </w:pPr>
  </w:style>
  <w:style w:type="paragraph" w:styleId="ListNumber4">
    <w:name w:val="List Number 4"/>
    <w:basedOn w:val="List4"/>
    <w:rsid w:val="00156BAA"/>
    <w:pPr>
      <w:numPr>
        <w:numId w:val="5"/>
      </w:numPr>
    </w:pPr>
  </w:style>
  <w:style w:type="paragraph" w:styleId="ListNumber5">
    <w:name w:val="List Number 5"/>
    <w:basedOn w:val="List5"/>
    <w:rsid w:val="00156BAA"/>
    <w:pPr>
      <w:numPr>
        <w:numId w:val="6"/>
      </w:numPr>
    </w:pPr>
  </w:style>
  <w:style w:type="paragraph" w:styleId="BlockText">
    <w:name w:val="Block Text"/>
    <w:basedOn w:val="Normal"/>
    <w:rsid w:val="00156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BAA"/>
    <w:rPr>
      <w:sz w:val="16"/>
      <w:vertAlign w:val="superscript"/>
    </w:rPr>
  </w:style>
  <w:style w:type="character" w:customStyle="1" w:styleId="Symbols">
    <w:name w:val="Symbols"/>
    <w:basedOn w:val="DefaultParagraphFont"/>
    <w:rsid w:val="00156BAA"/>
    <w:rPr>
      <w:rFonts w:ascii="Symbol" w:hAnsi="Symbol"/>
    </w:rPr>
  </w:style>
  <w:style w:type="character" w:customStyle="1" w:styleId="MenuOptions">
    <w:name w:val="Menu Options"/>
    <w:basedOn w:val="DefaultParagraphFont"/>
    <w:rsid w:val="00156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BAA"/>
    <w:rPr>
      <w:b/>
    </w:rPr>
  </w:style>
  <w:style w:type="character" w:customStyle="1" w:styleId="Underlined">
    <w:name w:val="Underlined"/>
    <w:basedOn w:val="DefaultParagraphFont"/>
    <w:rsid w:val="00156BAA"/>
    <w:rPr>
      <w:u w:val="single"/>
    </w:rPr>
  </w:style>
  <w:style w:type="paragraph" w:customStyle="1" w:styleId="TableBodyTextRight">
    <w:name w:val="Table Body Text Right"/>
    <w:basedOn w:val="TableBodyText"/>
    <w:rsid w:val="00156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BAA"/>
    <w:rPr>
      <w:sz w:val="18"/>
    </w:rPr>
  </w:style>
  <w:style w:type="paragraph" w:customStyle="1" w:styleId="BodySmallRight">
    <w:name w:val="Body Small Right"/>
    <w:basedOn w:val="BodyTextRight"/>
    <w:rsid w:val="00156BAA"/>
    <w:rPr>
      <w:sz w:val="18"/>
      <w:szCs w:val="18"/>
    </w:rPr>
  </w:style>
  <w:style w:type="paragraph" w:customStyle="1" w:styleId="MarginEdition">
    <w:name w:val="Margin Edition"/>
    <w:basedOn w:val="MarginNote"/>
    <w:rsid w:val="00156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BAA"/>
    <w:rPr>
      <w:sz w:val="2"/>
      <w:szCs w:val="2"/>
    </w:rPr>
  </w:style>
  <w:style w:type="character" w:customStyle="1" w:styleId="Small">
    <w:name w:val="Small"/>
    <w:basedOn w:val="DefaultParagraphFont"/>
    <w:rsid w:val="00156BAA"/>
    <w:rPr>
      <w:sz w:val="16"/>
    </w:rPr>
  </w:style>
  <w:style w:type="paragraph" w:customStyle="1" w:styleId="WideTable">
    <w:name w:val="Wide Table"/>
    <w:basedOn w:val="Normal"/>
    <w:rsid w:val="00156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BAA"/>
  </w:style>
  <w:style w:type="paragraph" w:styleId="Quote">
    <w:name w:val="Quote"/>
    <w:basedOn w:val="Heading1"/>
    <w:link w:val="QuoteChar"/>
    <w:qFormat/>
    <w:rsid w:val="00156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BAA"/>
    <w:pPr>
      <w:pageBreakBefore/>
    </w:pPr>
  </w:style>
  <w:style w:type="paragraph" w:customStyle="1" w:styleId="Border">
    <w:name w:val="Border"/>
    <w:basedOn w:val="Normal"/>
    <w:qFormat/>
    <w:rsid w:val="00156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BAA"/>
    <w:rPr>
      <w:u w:val="single"/>
    </w:rPr>
  </w:style>
  <w:style w:type="character" w:customStyle="1" w:styleId="BoldandItalics">
    <w:name w:val="Bold and Italics"/>
    <w:qFormat/>
    <w:rsid w:val="00156BAA"/>
    <w:rPr>
      <w:b/>
      <w:i/>
      <w:u w:val="none"/>
    </w:rPr>
  </w:style>
  <w:style w:type="paragraph" w:styleId="BalloonText">
    <w:name w:val="Balloon Text"/>
    <w:basedOn w:val="Normal"/>
    <w:link w:val="BalloonTextChar"/>
    <w:rsid w:val="00156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BAA"/>
    <w:pPr>
      <w:spacing w:before="0" w:after="0"/>
    </w:pPr>
  </w:style>
  <w:style w:type="paragraph" w:customStyle="1" w:styleId="BodyTextBold">
    <w:name w:val="Body Text Bold"/>
    <w:basedOn w:val="BodyText"/>
    <w:qFormat/>
    <w:rsid w:val="00156BAA"/>
    <w:rPr>
      <w:b/>
    </w:rPr>
  </w:style>
  <w:style w:type="character" w:styleId="Hyperlink">
    <w:name w:val="Hyperlink"/>
    <w:basedOn w:val="DefaultParagraphFont"/>
    <w:uiPriority w:val="99"/>
    <w:unhideWhenUsed/>
    <w:rsid w:val="00871A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3516</Characters>
  <Application>Microsoft Office Word</Application>
  <DocSecurity>0</DocSecurity>
  <Lines>113</Lines>
  <Paragraphs>68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PSPLND006 Investigate tenure applications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2022-04-03T13:04:00Z</dcterms:created>
  <dcterms:modified xsi:type="dcterms:W3CDTF">2022-04-03T13:04:00Z</dcterms:modified>
</cp:coreProperties>
</file>