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D48" w:rsidP="007D6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PSPLEG005 Comply with legislation in the public sector</w:t>
      </w:r>
      <w:r>
        <w:fldChar w:fldCharType="end"/>
      </w:r>
    </w:p>
    <w:p w:rsidR="007D6D48" w:rsidP="007D6D48">
      <w:pPr>
        <w:pStyle w:val="Version"/>
        <w:sectPr w:rsidSect="005B4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F01" w:rsidP="005B4F01">
      <w:pPr>
        <w:pStyle w:val="SuperHeading"/>
      </w:pPr>
      <w:r w:rsidRPr="005B4F01">
        <w:t>PSPLEG005 Comply with legislation in the public sector</w:t>
      </w:r>
    </w:p>
    <w:p w:rsidR="00000000" w:rsidRPr="005B4F01" w:rsidP="005B4F01">
      <w:pPr>
        <w:pStyle w:val="Heading1"/>
      </w:pPr>
      <w:bookmarkStart w:id="1" w:name="O_1216522"/>
      <w:bookmarkEnd w:id="1"/>
      <w:r w:rsidRPr="005B4F01">
        <w:t>Modification History</w:t>
      </w:r>
    </w:p>
    <w:p w:rsidR="00000000" w:rsidRPr="005B4F01" w:rsidP="007D6D48">
      <w:pPr>
        <w:pStyle w:val="BodyText"/>
      </w:pPr>
      <w:r w:rsidRPr="005B4F01">
        <w:t>Supersedes and is equivalent to PSPLEG001 Comply with legislation in the public sector.</w:t>
      </w:r>
    </w:p>
    <w:p w:rsidR="00000000" w:rsidRPr="005B4F01" w:rsidP="005B4F01">
      <w:pPr>
        <w:pStyle w:val="Heading1"/>
      </w:pPr>
      <w:bookmarkStart w:id="2" w:name="O_1216523"/>
      <w:bookmarkEnd w:id="2"/>
      <w:r w:rsidRPr="005B4F01">
        <w:t>Application</w:t>
      </w:r>
    </w:p>
    <w:p w:rsidR="00000000" w:rsidRPr="005B4F01" w:rsidP="007D6D48">
      <w:pPr>
        <w:pStyle w:val="BodyText"/>
      </w:pPr>
      <w:r w:rsidRPr="005B4F01">
        <w:t>This unit describes the performance outcomes, skills and knowledge required to identify, understan</w:t>
      </w:r>
      <w:r w:rsidRPr="005B4F01">
        <w:t>d and comply with legislative requirements and report non-compliance.</w:t>
      </w:r>
    </w:p>
    <w:p w:rsidR="00000000" w:rsidRPr="005B4F01" w:rsidP="007D6D48">
      <w:pPr>
        <w:pStyle w:val="BodyText"/>
      </w:pPr>
      <w:r w:rsidRPr="005B4F01">
        <w:t>This unit applies to those working in generalist or specialist work roles under supervision while performing routine tasks in familiar contexts.</w:t>
      </w:r>
    </w:p>
    <w:p w:rsidR="00000000" w:rsidRPr="005B4F01" w:rsidP="007D6D48">
      <w:pPr>
        <w:pStyle w:val="BodyText"/>
      </w:pPr>
      <w:r w:rsidRPr="005B4F01">
        <w:t>The skills in this unit must be applied i</w:t>
      </w:r>
      <w:r w:rsidRPr="005B4F01">
        <w:t>n accordance with Commonwealth and State or Territory legislation, Australian standards and industry codes of practice.</w:t>
      </w:r>
    </w:p>
    <w:p w:rsidR="00000000" w:rsidRPr="005B4F01" w:rsidP="007D6D48">
      <w:pPr>
        <w:pStyle w:val="BodyText"/>
      </w:pPr>
      <w:r w:rsidRPr="005B4F01">
        <w:t>No occupational licensing, certification or specific legislative requirements apply to this unit at the time of publication.</w:t>
      </w:r>
    </w:p>
    <w:p w:rsidR="00000000" w:rsidRPr="005B4F01" w:rsidP="005B4F01">
      <w:pPr>
        <w:pStyle w:val="Heading1"/>
      </w:pPr>
      <w:bookmarkStart w:id="3" w:name="O_1216524"/>
      <w:bookmarkEnd w:id="3"/>
      <w:r w:rsidRPr="005B4F01">
        <w:t>Pre-requisite Unit</w:t>
      </w:r>
    </w:p>
    <w:p w:rsidR="00000000" w:rsidRPr="005B4F01" w:rsidP="007D6D48">
      <w:pPr>
        <w:pStyle w:val="BodyText"/>
      </w:pPr>
      <w:r w:rsidRPr="005B4F01">
        <w:t xml:space="preserve">Nil </w:t>
      </w:r>
    </w:p>
    <w:p w:rsidR="00000000" w:rsidRPr="005B4F01" w:rsidP="005B4F01">
      <w:pPr>
        <w:pStyle w:val="Heading1"/>
      </w:pPr>
      <w:bookmarkStart w:id="4" w:name="O_1216525"/>
      <w:bookmarkEnd w:id="4"/>
      <w:r w:rsidRPr="005B4F01">
        <w:t>Competency Field</w:t>
      </w:r>
    </w:p>
    <w:p w:rsidR="00000000" w:rsidRPr="005B4F01" w:rsidP="007D6D48">
      <w:pPr>
        <w:pStyle w:val="BodyText"/>
      </w:pPr>
      <w:r w:rsidRPr="005B4F01">
        <w:t>Legislation and compliance</w:t>
      </w:r>
    </w:p>
    <w:p w:rsidR="00000000" w:rsidRPr="005B4F01" w:rsidP="005B4F01">
      <w:pPr>
        <w:pStyle w:val="Heading1"/>
      </w:pPr>
      <w:bookmarkStart w:id="5" w:name="O_1216527"/>
      <w:bookmarkEnd w:id="5"/>
      <w:r w:rsidRPr="005B4F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29"/>
        <w:gridCol w:w="5915"/>
      </w:tblGrid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F01" w:rsidP="005B4F01">
            <w:pPr>
              <w:pStyle w:val="BodyText"/>
            </w:pPr>
            <w:r w:rsidRPr="005B4F01">
              <w:rPr>
                <w:rStyle w:val="SpecialBold"/>
              </w:rPr>
              <w:t>ELEMENTS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BodyText"/>
              <w:rPr>
                <w:lang w:val="en-NZ"/>
              </w:rPr>
            </w:pPr>
            <w:r w:rsidRPr="005B4F01">
              <w:rPr>
                <w:rStyle w:val="SpecialBold"/>
              </w:rPr>
              <w:t>PERFORMANCE</w:t>
            </w:r>
            <w:r w:rsidRPr="005B4F01">
              <w:t xml:space="preserve"> </w:t>
            </w:r>
            <w:r w:rsidRPr="005B4F01">
              <w:rPr>
                <w:rStyle w:val="SpecialBold"/>
              </w:rPr>
              <w:t>CRITERIA</w:t>
            </w:r>
          </w:p>
        </w:tc>
      </w:tr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F01" w:rsidP="005B4F01">
            <w:pPr>
              <w:pStyle w:val="BodyText"/>
            </w:pPr>
            <w:r w:rsidRPr="005B4F01">
              <w:rPr>
                <w:rStyle w:val="Emphasis"/>
              </w:rPr>
              <w:t>Elements describe the essential outcomes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BodyText"/>
              <w:rPr>
                <w:lang w:val="en-NZ"/>
              </w:rPr>
            </w:pPr>
            <w:r w:rsidRPr="005B4F01">
              <w:rPr>
                <w:rStyle w:val="Emphasis"/>
              </w:rPr>
              <w:t>Performance criteria describe the pe</w:t>
            </w:r>
            <w:r w:rsidRPr="005B4F01">
              <w:rPr>
                <w:rStyle w:val="Emphasis"/>
              </w:rPr>
              <w:t>rformance needed to demonstrate achievement of the element.</w:t>
            </w:r>
          </w:p>
        </w:tc>
      </w:tr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3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List"/>
              <w:rPr>
                <w:lang w:val="en-NZ"/>
              </w:rPr>
            </w:pPr>
            <w:r w:rsidRPr="005B4F01">
              <w:t>1.  Identify legislative requirements.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F01" w:rsidP="005B4F01">
            <w:pPr>
              <w:pStyle w:val="List"/>
            </w:pPr>
            <w:r w:rsidRPr="005B4F01">
              <w:t>1.1. Access legislation and guidelines for the public sector workplace.</w:t>
            </w:r>
          </w:p>
          <w:p w:rsidR="00000000" w:rsidRPr="005B4F01" w:rsidP="005B4F01">
            <w:pPr>
              <w:pStyle w:val="List"/>
            </w:pPr>
            <w:r w:rsidRPr="005B4F01">
              <w:t>1.2. Identify key requirements of relevant legislation and confirm with senior staff.</w:t>
            </w:r>
          </w:p>
          <w:p w:rsidR="00000000" w:rsidRPr="005B4F01" w:rsidP="005B4F01">
            <w:pPr>
              <w:pStyle w:val="List"/>
            </w:pPr>
            <w:r w:rsidRPr="005B4F01">
              <w:t>1.3. Confirm understanding of requirements of legislation and ensure consistency of interpretation and application.</w:t>
            </w:r>
          </w:p>
          <w:p w:rsidR="00000000" w:rsidRPr="005B4F01" w:rsidP="005B4F01">
            <w:pPr>
              <w:pStyle w:val="List"/>
            </w:pPr>
            <w:r w:rsidRPr="005B4F01">
              <w:t>1.4. Clarify the way various pieces of legislation are</w:t>
            </w:r>
            <w:r w:rsidRPr="005B4F01">
              <w:t xml:space="preserve"> integrated to provide a legislative framework.</w:t>
            </w:r>
          </w:p>
          <w:p w:rsidR="00000000" w:rsidP="005B4F01">
            <w:pPr>
              <w:pStyle w:val="List"/>
              <w:rPr>
                <w:lang w:val="en-NZ"/>
              </w:rPr>
            </w:pPr>
            <w:r w:rsidRPr="005B4F01">
              <w:t>1.5. Seek advice when conflicting legislative directives are found.</w:t>
            </w:r>
          </w:p>
        </w:tc>
      </w:tr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9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List"/>
              <w:rPr>
                <w:lang w:val="en-NZ"/>
              </w:rPr>
            </w:pPr>
            <w:r w:rsidRPr="005B4F01">
              <w:t>2.  Comply with legislative requirements.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F01" w:rsidP="005B4F01">
            <w:pPr>
              <w:pStyle w:val="List"/>
            </w:pPr>
            <w:r w:rsidRPr="005B4F01">
              <w:t>2.1. Carry out work practices in accordance with requirements.</w:t>
            </w:r>
          </w:p>
          <w:p w:rsidR="00000000" w:rsidP="005B4F01">
            <w:pPr>
              <w:pStyle w:val="List"/>
              <w:rPr>
                <w:lang w:val="en-NZ"/>
              </w:rPr>
            </w:pPr>
            <w:r w:rsidRPr="005B4F01">
              <w:t>2.2. Review own conduct and use fe</w:t>
            </w:r>
            <w:r w:rsidRPr="005B4F01">
              <w:t>edback from others to confirm continuing compliance.</w:t>
            </w:r>
          </w:p>
        </w:tc>
      </w:tr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List"/>
              <w:rPr>
                <w:lang w:val="en-NZ"/>
              </w:rPr>
            </w:pPr>
            <w:r w:rsidRPr="005B4F01">
              <w:t>3.  Report incidents of non-compliance.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F01" w:rsidP="005B4F01">
            <w:pPr>
              <w:pStyle w:val="List"/>
            </w:pPr>
            <w:r w:rsidRPr="005B4F01">
              <w:t>3.1. Identify possible breaches of legislation and raise with an authorised person or body.</w:t>
            </w:r>
          </w:p>
          <w:p w:rsidR="00000000" w:rsidRPr="005B4F01" w:rsidP="005B4F01">
            <w:pPr>
              <w:pStyle w:val="List"/>
            </w:pPr>
            <w:r w:rsidRPr="005B4F01">
              <w:t>3.2. Identify and address inadequacies in workplace procedures that contribute to non-compliance in accordance with organisational procedure.</w:t>
            </w:r>
          </w:p>
        </w:tc>
      </w:tr>
    </w:tbl>
    <w:p w:rsidR="00000000" w:rsidRPr="005B4F01" w:rsidP="005B4F01">
      <w:pPr>
        <w:pStyle w:val="List"/>
      </w:pPr>
    </w:p>
    <w:p w:rsidR="00000000" w:rsidRPr="005B4F01" w:rsidP="005B4F01">
      <w:pPr>
        <w:pStyle w:val="AllowPageBreak"/>
      </w:pPr>
    </w:p>
    <w:p w:rsidR="00000000" w:rsidRPr="005B4F01" w:rsidP="005B4F01">
      <w:pPr>
        <w:pStyle w:val="Heading1"/>
      </w:pPr>
      <w:bookmarkStart w:id="6" w:name="O_1216528"/>
      <w:bookmarkEnd w:id="6"/>
      <w:r w:rsidRPr="005B4F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BodyText"/>
              <w:rPr>
                <w:lang w:val="en-NZ"/>
              </w:rPr>
            </w:pPr>
            <w:r w:rsidRPr="005B4F01">
              <w:t>Foundation skills essential to performance in this unit, but not explicit i</w:t>
            </w:r>
            <w:r w:rsidRPr="005B4F01">
              <w:t>n the performance criteria are listed here, along with a brief context statement.</w:t>
            </w:r>
          </w:p>
        </w:tc>
      </w:tr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F01" w:rsidP="005B4F01">
            <w:pPr>
              <w:pStyle w:val="BodyText"/>
            </w:pPr>
            <w:r w:rsidRPr="005B4F0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BodyText"/>
              <w:rPr>
                <w:lang w:val="en-NZ"/>
              </w:rPr>
            </w:pPr>
            <w:r w:rsidRPr="005B4F01">
              <w:rPr>
                <w:rStyle w:val="SpecialBold"/>
              </w:rPr>
              <w:t>DESCRIPTION</w:t>
            </w:r>
          </w:p>
        </w:tc>
      </w:tr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BodyText"/>
              <w:rPr>
                <w:lang w:val="en-NZ"/>
              </w:rPr>
            </w:pPr>
            <w:r w:rsidRPr="005B4F0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ListBullet"/>
              <w:rPr>
                <w:lang w:val="en-NZ"/>
              </w:rPr>
            </w:pPr>
            <w:r w:rsidRPr="005B4F01">
              <w:t>locate, access and interpret a variety of simple and complex texts to determine legal requirements of own job.</w:t>
            </w:r>
          </w:p>
        </w:tc>
      </w:tr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BodyText"/>
              <w:rPr>
                <w:lang w:val="en-NZ"/>
              </w:rPr>
            </w:pPr>
            <w:r w:rsidRPr="005B4F0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ListBullet"/>
              <w:rPr>
                <w:lang w:val="en-NZ"/>
              </w:rPr>
            </w:pPr>
            <w:r w:rsidRPr="005B4F01">
              <w:t>ask open and closed questions to gather information and confirm legislation and procedural requirements.</w:t>
            </w:r>
          </w:p>
        </w:tc>
      </w:tr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BodyText"/>
              <w:rPr>
                <w:lang w:val="en-NZ"/>
              </w:rPr>
            </w:pPr>
            <w:r w:rsidRPr="005B4F0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ListBullet"/>
              <w:rPr>
                <w:lang w:val="en-NZ"/>
              </w:rPr>
            </w:pPr>
            <w:r w:rsidRPr="005B4F01">
              <w:t>complete routine records to refer and report incidents of non-compliance.</w:t>
            </w:r>
          </w:p>
        </w:tc>
      </w:tr>
      <w:tr w:rsidTr="005B4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F01">
            <w:pPr>
              <w:pStyle w:val="BodyText"/>
              <w:rPr>
                <w:lang w:val="en-NZ"/>
              </w:rPr>
            </w:pPr>
            <w:r w:rsidRPr="005B4F0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F01" w:rsidP="005B4F01">
            <w:pPr>
              <w:pStyle w:val="ListBullet"/>
            </w:pPr>
            <w:r w:rsidRPr="005B4F01">
              <w:t>access legislation, regulations and procedural requirements.</w:t>
            </w:r>
          </w:p>
        </w:tc>
      </w:tr>
    </w:tbl>
    <w:p w:rsidR="00000000" w:rsidRPr="005B4F01" w:rsidP="005B4F01">
      <w:pPr>
        <w:pStyle w:val="BodyText"/>
      </w:pPr>
    </w:p>
    <w:p w:rsidR="00000000" w:rsidRPr="005B4F01" w:rsidP="005B4F01">
      <w:pPr>
        <w:pStyle w:val="AllowPageBreak"/>
      </w:pPr>
    </w:p>
    <w:p w:rsidR="00000000" w:rsidRPr="005B4F01" w:rsidP="005B4F01">
      <w:pPr>
        <w:pStyle w:val="Heading1"/>
      </w:pPr>
      <w:bookmarkStart w:id="7" w:name="O_1216530"/>
      <w:bookmarkEnd w:id="7"/>
      <w:r w:rsidRPr="005B4F01">
        <w:t>Unit Mapping Information</w:t>
      </w:r>
    </w:p>
    <w:p w:rsidR="00000000" w:rsidRPr="005B4F01" w:rsidP="007D6D48">
      <w:pPr>
        <w:pStyle w:val="BodyText"/>
      </w:pPr>
      <w:r w:rsidRPr="005B4F01">
        <w:t>Supersedes and is equivalent to PSPLEG001 Comply with legislation in the public sector.</w:t>
      </w:r>
    </w:p>
    <w:p w:rsidR="00000000" w:rsidRPr="005B4F01" w:rsidP="005B4F01">
      <w:pPr>
        <w:pStyle w:val="Heading1"/>
      </w:pPr>
      <w:bookmarkStart w:id="8" w:name="O_1216537"/>
      <w:bookmarkEnd w:id="8"/>
      <w:r w:rsidRPr="005B4F01">
        <w:t>Links</w:t>
      </w:r>
    </w:p>
    <w:p w:rsidR="00000000" w:rsidRPr="005B4F01" w:rsidP="007D6D48">
      <w:pPr>
        <w:pStyle w:val="BodyText"/>
      </w:pPr>
      <w:r w:rsidRPr="005B4F01">
        <w:t>Companion Volume imple</w:t>
      </w:r>
      <w:r w:rsidRPr="005B4F01">
        <w:t xml:space="preserve">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C2C7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4F01" w:rsidP="005B4F01"/>
    <w:sectPr w:rsidSect="005B4F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01" w:rsidRPr="007D6D48" w:rsidP="007D6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D48" w:rsidP="005B4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D48" w:rsidP="005B4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6D48" w:rsidP="005B4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F01" w:rsidRPr="007D6D48" w:rsidP="007D6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D48" w:rsidRPr="002D2AF8" w:rsidP="005B4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PSPLEG005 Comply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D6D48" w:rsidP="005B4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AAE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CC3E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F01"/>
  </w:style>
  <w:style w:type="character" w:customStyle="1" w:styleId="Heading1Char">
    <w:name w:val="Heading 1 Char"/>
    <w:basedOn w:val="DefaultParagraphFont"/>
    <w:link w:val="Heading1"/>
    <w:rsid w:val="005B4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F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4F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F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F01"/>
    <w:rPr>
      <w:b/>
      <w:spacing w:val="0"/>
    </w:rPr>
  </w:style>
  <w:style w:type="character" w:styleId="Emphasis">
    <w:name w:val="Emphasis"/>
    <w:basedOn w:val="DefaultParagraphFont"/>
    <w:qFormat/>
    <w:rsid w:val="005B4F01"/>
    <w:rPr>
      <w:i/>
    </w:rPr>
  </w:style>
  <w:style w:type="paragraph" w:customStyle="1" w:styleId="SuperHeading">
    <w:name w:val="SuperHeading"/>
    <w:basedOn w:val="Normal"/>
    <w:rsid w:val="005B4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F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4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F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F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F01"/>
  </w:style>
  <w:style w:type="paragraph" w:styleId="TableofFigures">
    <w:name w:val="table of figures"/>
    <w:basedOn w:val="Normal"/>
    <w:next w:val="Normal"/>
    <w:semiHidden/>
    <w:rsid w:val="005B4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F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4F01"/>
    <w:rPr>
      <w:rFonts w:ascii="Wingdings" w:hAnsi="Wingdings"/>
    </w:rPr>
  </w:style>
  <w:style w:type="paragraph" w:customStyle="1" w:styleId="TableHeading">
    <w:name w:val="Table Heading"/>
    <w:basedOn w:val="HeadingBase"/>
    <w:rsid w:val="005B4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F01"/>
    <w:rPr>
      <w:color w:val="0033CC"/>
      <w:u w:val="none"/>
    </w:rPr>
  </w:style>
  <w:style w:type="paragraph" w:customStyle="1" w:styleId="BodyTextRight">
    <w:name w:val="Body Text Right"/>
    <w:basedOn w:val="BodyText"/>
    <w:rsid w:val="005B4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F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F01"/>
    <w:rPr>
      <w:sz w:val="32"/>
    </w:rPr>
  </w:style>
  <w:style w:type="paragraph" w:customStyle="1" w:styleId="HeadingProcedure">
    <w:name w:val="Heading Procedure"/>
    <w:basedOn w:val="HeadingBase"/>
    <w:next w:val="Normal"/>
    <w:rsid w:val="005B4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F01"/>
    <w:pPr>
      <w:spacing w:before="60" w:after="60"/>
    </w:pPr>
  </w:style>
  <w:style w:type="paragraph" w:styleId="ListContinue">
    <w:name w:val="List Continue"/>
    <w:basedOn w:val="List"/>
    <w:rsid w:val="005B4F01"/>
    <w:pPr>
      <w:ind w:firstLine="0"/>
    </w:pPr>
  </w:style>
  <w:style w:type="paragraph" w:customStyle="1" w:styleId="ListNote">
    <w:name w:val="List Note"/>
    <w:basedOn w:val="List"/>
    <w:rsid w:val="005B4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F01"/>
    <w:rPr>
      <w:rFonts w:ascii="Courier New" w:hAnsi="Courier New"/>
    </w:rPr>
  </w:style>
  <w:style w:type="paragraph" w:customStyle="1" w:styleId="NoteBullet">
    <w:name w:val="Note Bullet"/>
    <w:basedOn w:val="Note"/>
    <w:rsid w:val="005B4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F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4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F01"/>
    <w:rPr>
      <w:b/>
      <w:smallCaps/>
    </w:rPr>
  </w:style>
  <w:style w:type="paragraph" w:customStyle="1" w:styleId="TableListNumber">
    <w:name w:val="Table List Number"/>
    <w:basedOn w:val="ListNumber"/>
    <w:rsid w:val="005B4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F01"/>
    <w:pPr>
      <w:numPr>
        <w:numId w:val="8"/>
      </w:numPr>
    </w:pPr>
  </w:style>
  <w:style w:type="paragraph" w:customStyle="1" w:styleId="ListAlpha2">
    <w:name w:val="List Alpha 2"/>
    <w:basedOn w:val="List2"/>
    <w:rsid w:val="005B4F01"/>
    <w:pPr>
      <w:numPr>
        <w:numId w:val="7"/>
      </w:numPr>
    </w:pPr>
  </w:style>
  <w:style w:type="paragraph" w:styleId="List2">
    <w:name w:val="List 2"/>
    <w:basedOn w:val="BodyText"/>
    <w:rsid w:val="005B4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F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F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4F01"/>
    <w:pPr>
      <w:numPr>
        <w:numId w:val="3"/>
      </w:numPr>
    </w:pPr>
  </w:style>
  <w:style w:type="paragraph" w:styleId="ListContinue2">
    <w:name w:val="List Continue 2"/>
    <w:basedOn w:val="List2"/>
    <w:rsid w:val="005B4F01"/>
    <w:pPr>
      <w:ind w:firstLine="0"/>
    </w:pPr>
  </w:style>
  <w:style w:type="paragraph" w:styleId="ListContinue3">
    <w:name w:val="List Continue 3"/>
    <w:basedOn w:val="List3"/>
    <w:rsid w:val="005B4F01"/>
    <w:pPr>
      <w:ind w:left="1021" w:firstLine="0"/>
    </w:pPr>
  </w:style>
  <w:style w:type="paragraph" w:styleId="ListContinue4">
    <w:name w:val="List Continue 4"/>
    <w:basedOn w:val="List4"/>
    <w:rsid w:val="005B4F01"/>
    <w:pPr>
      <w:ind w:firstLine="0"/>
    </w:pPr>
  </w:style>
  <w:style w:type="paragraph" w:styleId="ListContinue5">
    <w:name w:val="List Continue 5"/>
    <w:basedOn w:val="List5"/>
    <w:rsid w:val="005B4F01"/>
    <w:pPr>
      <w:ind w:firstLine="0"/>
    </w:pPr>
  </w:style>
  <w:style w:type="paragraph" w:styleId="ListNumber3">
    <w:name w:val="List Number 3"/>
    <w:basedOn w:val="List3"/>
    <w:rsid w:val="005B4F01"/>
    <w:pPr>
      <w:numPr>
        <w:numId w:val="4"/>
      </w:numPr>
    </w:pPr>
  </w:style>
  <w:style w:type="paragraph" w:styleId="ListNumber4">
    <w:name w:val="List Number 4"/>
    <w:basedOn w:val="List4"/>
    <w:rsid w:val="005B4F01"/>
    <w:pPr>
      <w:numPr>
        <w:numId w:val="5"/>
      </w:numPr>
    </w:pPr>
  </w:style>
  <w:style w:type="paragraph" w:styleId="ListNumber5">
    <w:name w:val="List Number 5"/>
    <w:basedOn w:val="List5"/>
    <w:rsid w:val="005B4F01"/>
    <w:pPr>
      <w:numPr>
        <w:numId w:val="6"/>
      </w:numPr>
    </w:pPr>
  </w:style>
  <w:style w:type="paragraph" w:styleId="BlockText">
    <w:name w:val="Block Text"/>
    <w:basedOn w:val="Normal"/>
    <w:rsid w:val="005B4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F01"/>
    <w:rPr>
      <w:sz w:val="16"/>
      <w:vertAlign w:val="superscript"/>
    </w:rPr>
  </w:style>
  <w:style w:type="character" w:customStyle="1" w:styleId="Symbols">
    <w:name w:val="Symbols"/>
    <w:basedOn w:val="DefaultParagraphFont"/>
    <w:rsid w:val="005B4F01"/>
    <w:rPr>
      <w:rFonts w:ascii="Symbol" w:hAnsi="Symbol"/>
    </w:rPr>
  </w:style>
  <w:style w:type="character" w:customStyle="1" w:styleId="MenuOptions">
    <w:name w:val="Menu Options"/>
    <w:basedOn w:val="DefaultParagraphFont"/>
    <w:rsid w:val="005B4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F01"/>
    <w:rPr>
      <w:b/>
    </w:rPr>
  </w:style>
  <w:style w:type="character" w:customStyle="1" w:styleId="Underlined">
    <w:name w:val="Underlined"/>
    <w:basedOn w:val="DefaultParagraphFont"/>
    <w:rsid w:val="005B4F01"/>
    <w:rPr>
      <w:u w:val="single"/>
    </w:rPr>
  </w:style>
  <w:style w:type="paragraph" w:customStyle="1" w:styleId="TableBodyTextRight">
    <w:name w:val="Table Body Text Right"/>
    <w:basedOn w:val="TableBodyText"/>
    <w:rsid w:val="005B4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F01"/>
    <w:rPr>
      <w:sz w:val="18"/>
    </w:rPr>
  </w:style>
  <w:style w:type="paragraph" w:customStyle="1" w:styleId="BodySmallRight">
    <w:name w:val="Body Small Right"/>
    <w:basedOn w:val="BodyTextRight"/>
    <w:rsid w:val="005B4F01"/>
    <w:rPr>
      <w:sz w:val="18"/>
      <w:szCs w:val="18"/>
    </w:rPr>
  </w:style>
  <w:style w:type="paragraph" w:customStyle="1" w:styleId="MarginEdition">
    <w:name w:val="Margin Edition"/>
    <w:basedOn w:val="MarginNote"/>
    <w:rsid w:val="005B4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F01"/>
    <w:rPr>
      <w:sz w:val="2"/>
      <w:szCs w:val="2"/>
    </w:rPr>
  </w:style>
  <w:style w:type="character" w:customStyle="1" w:styleId="Small">
    <w:name w:val="Small"/>
    <w:basedOn w:val="DefaultParagraphFont"/>
    <w:rsid w:val="005B4F01"/>
    <w:rPr>
      <w:sz w:val="16"/>
    </w:rPr>
  </w:style>
  <w:style w:type="paragraph" w:customStyle="1" w:styleId="WideTable">
    <w:name w:val="Wide Table"/>
    <w:basedOn w:val="Normal"/>
    <w:rsid w:val="005B4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F01"/>
  </w:style>
  <w:style w:type="paragraph" w:styleId="Quote">
    <w:name w:val="Quote"/>
    <w:basedOn w:val="Heading1"/>
    <w:link w:val="QuoteChar"/>
    <w:qFormat/>
    <w:rsid w:val="005B4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F01"/>
    <w:pPr>
      <w:pageBreakBefore/>
    </w:pPr>
  </w:style>
  <w:style w:type="paragraph" w:customStyle="1" w:styleId="Border">
    <w:name w:val="Border"/>
    <w:basedOn w:val="Normal"/>
    <w:qFormat/>
    <w:rsid w:val="005B4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F01"/>
    <w:rPr>
      <w:u w:val="single"/>
    </w:rPr>
  </w:style>
  <w:style w:type="character" w:customStyle="1" w:styleId="BoldandItalics">
    <w:name w:val="Bold and Italics"/>
    <w:qFormat/>
    <w:rsid w:val="005B4F01"/>
    <w:rPr>
      <w:b/>
      <w:i/>
      <w:u w:val="none"/>
    </w:rPr>
  </w:style>
  <w:style w:type="paragraph" w:styleId="BalloonText">
    <w:name w:val="Balloon Text"/>
    <w:basedOn w:val="Normal"/>
    <w:link w:val="BalloonTextChar"/>
    <w:rsid w:val="005B4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F01"/>
    <w:pPr>
      <w:spacing w:before="0" w:after="0"/>
    </w:pPr>
  </w:style>
  <w:style w:type="paragraph" w:customStyle="1" w:styleId="BodyTextBold">
    <w:name w:val="Body Text Bold"/>
    <w:basedOn w:val="BodyText"/>
    <w:qFormat/>
    <w:rsid w:val="005B4F01"/>
    <w:rPr>
      <w:b/>
    </w:rPr>
  </w:style>
  <w:style w:type="character" w:styleId="Hyperlink">
    <w:name w:val="Hyperlink"/>
    <w:basedOn w:val="DefaultParagraphFont"/>
    <w:uiPriority w:val="99"/>
    <w:unhideWhenUsed/>
    <w:rsid w:val="007D6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2728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PSPLEG005 Comply with legislation in the public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