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0F2" w:rsidP="000D70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PSPLAN015 Research the role of an Auslan interpreter</w:t>
      </w:r>
      <w:r>
        <w:fldChar w:fldCharType="end"/>
      </w:r>
    </w:p>
    <w:p w:rsidR="000D70F2" w:rsidP="000D70F2">
      <w:pPr>
        <w:pStyle w:val="Version"/>
        <w:sectPr w:rsidSect="00527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0EB" w:rsidP="005270EB">
      <w:pPr>
        <w:pStyle w:val="SuperHeading"/>
      </w:pPr>
      <w:r w:rsidRPr="005270EB">
        <w:t>Assessment Requirements for PSPLAN015 Research the role of an Auslan interpreter</w:t>
      </w:r>
    </w:p>
    <w:p w:rsidR="00000000" w:rsidRPr="005270EB" w:rsidP="005270EB">
      <w:pPr>
        <w:pStyle w:val="Heading1"/>
      </w:pPr>
      <w:bookmarkStart w:id="1" w:name="O_962988"/>
      <w:bookmarkEnd w:id="1"/>
      <w:r w:rsidRPr="005270EB">
        <w:t>Modification History</w:t>
      </w:r>
    </w:p>
    <w:p w:rsidR="00000000" w:rsidRPr="005270EB" w:rsidP="000D70F2">
      <w:pPr>
        <w:pStyle w:val="BodyText"/>
      </w:pPr>
      <w:r w:rsidRPr="005270EB">
        <w:t>Not applicable.</w:t>
      </w:r>
    </w:p>
    <w:p w:rsidR="00000000" w:rsidRPr="005270EB" w:rsidP="005270EB">
      <w:pPr>
        <w:pStyle w:val="Heading1"/>
      </w:pPr>
      <w:bookmarkStart w:id="2" w:name="O_962989"/>
      <w:bookmarkEnd w:id="2"/>
      <w:r w:rsidRPr="005270EB">
        <w:t>Performance Evidence</w:t>
      </w:r>
    </w:p>
    <w:p w:rsidR="00000000" w:rsidRPr="005270EB" w:rsidP="000D70F2">
      <w:pPr>
        <w:pStyle w:val="BodyText"/>
      </w:pPr>
      <w:r w:rsidRPr="005270EB">
        <w:t>Evidence of the ability to complete tasks outlined in elements and performance criteria of this unit, and:</w:t>
      </w:r>
    </w:p>
    <w:p w:rsidR="00000000" w:rsidRPr="005270EB" w:rsidP="005270EB">
      <w:pPr>
        <w:pStyle w:val="ListBullet"/>
      </w:pPr>
      <w:r w:rsidRPr="005270EB">
        <w:t>source and document information on a range of available jobs for Auslan interpreters to include job descriptions, employment or contract conditions,</w:t>
      </w:r>
      <w:r w:rsidRPr="005270EB">
        <w:t xml:space="preserve"> required qualifications and quality assurance certification</w:t>
      </w:r>
    </w:p>
    <w:p w:rsidR="00000000" w:rsidRPr="005270EB" w:rsidP="005270EB">
      <w:pPr>
        <w:pStyle w:val="ListBullet"/>
      </w:pPr>
      <w:r w:rsidRPr="005270EB">
        <w:t>research information on industry codes of ethics and provide a broad summary of requirements in a written, verbal or Auslan signed report</w:t>
      </w:r>
    </w:p>
    <w:p w:rsidR="00000000" w:rsidRPr="005270EB" w:rsidP="005270EB">
      <w:pPr>
        <w:pStyle w:val="ListBullet"/>
      </w:pPr>
      <w:r w:rsidRPr="005270EB">
        <w:t>complete a written, verbal or Auslan signed report to inc</w:t>
      </w:r>
      <w:r w:rsidRPr="005270EB">
        <w:t>lude:</w:t>
      </w:r>
    </w:p>
    <w:p w:rsidR="00000000" w:rsidRPr="005270EB" w:rsidP="005270EB">
      <w:pPr>
        <w:pStyle w:val="ListBullet2"/>
      </w:pPr>
      <w:r w:rsidRPr="005270EB">
        <w:t>definitions of key terminology for Auslan interpreting</w:t>
      </w:r>
    </w:p>
    <w:p w:rsidR="00000000" w:rsidRPr="005270EB" w:rsidP="005270EB">
      <w:pPr>
        <w:pStyle w:val="ListBullet2"/>
      </w:pPr>
      <w:r w:rsidRPr="005270EB">
        <w:t>how and why groups of interpreters work together in the Auslan context</w:t>
      </w:r>
    </w:p>
    <w:p w:rsidR="00000000" w:rsidRPr="005270EB" w:rsidP="005270EB">
      <w:pPr>
        <w:pStyle w:val="ListBullet2"/>
      </w:pPr>
      <w:r w:rsidRPr="005270EB">
        <w:t>environmental considerations for Auslan interpreting</w:t>
      </w:r>
    </w:p>
    <w:p w:rsidR="00000000" w:rsidRPr="005270EB" w:rsidP="005270EB">
      <w:pPr>
        <w:pStyle w:val="ListBullet2"/>
      </w:pPr>
      <w:r w:rsidRPr="005270EB">
        <w:t>three different contexts in which Auslan interpreters work and differe</w:t>
      </w:r>
      <w:r w:rsidRPr="005270EB">
        <w:t>nt requirements for each.</w:t>
      </w:r>
    </w:p>
    <w:p w:rsidR="00000000" w:rsidRPr="005270EB" w:rsidP="005270EB">
      <w:pPr>
        <w:pStyle w:val="AllowPageBreak"/>
      </w:pPr>
    </w:p>
    <w:p w:rsidR="00000000" w:rsidRPr="005270EB" w:rsidP="005270EB">
      <w:pPr>
        <w:pStyle w:val="Heading1"/>
      </w:pPr>
      <w:bookmarkStart w:id="3" w:name="O_962990"/>
      <w:bookmarkEnd w:id="3"/>
      <w:r w:rsidRPr="005270EB">
        <w:t>Knowledge Evidence</w:t>
      </w:r>
    </w:p>
    <w:p w:rsidR="00000000" w:rsidRPr="005270EB" w:rsidP="000D70F2">
      <w:pPr>
        <w:pStyle w:val="BodyText"/>
      </w:pPr>
      <w:r w:rsidRPr="005270EB">
        <w:t>knowledge required to complete the tasks outlined in elements and performance criteria of this unit:</w:t>
      </w:r>
    </w:p>
    <w:p w:rsidR="00000000" w:rsidRPr="005270EB" w:rsidP="005270EB">
      <w:pPr>
        <w:pStyle w:val="ListBullet"/>
      </w:pPr>
      <w:r w:rsidRPr="005270EB">
        <w:t>a broad overview of the relationship between interpreters and the Deaf community</w:t>
      </w:r>
    </w:p>
    <w:p w:rsidR="00000000" w:rsidRPr="005270EB" w:rsidP="005270EB">
      <w:pPr>
        <w:pStyle w:val="ListBullet"/>
      </w:pPr>
      <w:r w:rsidRPr="005270EB">
        <w:t>the meaning of the following terminology:</w:t>
      </w:r>
    </w:p>
    <w:p w:rsidR="00000000" w:rsidRPr="005270EB" w:rsidP="005270EB">
      <w:pPr>
        <w:pStyle w:val="ListBullet2"/>
      </w:pPr>
      <w:r w:rsidRPr="005270EB">
        <w:t>translating and interpreting and the differences between the two</w:t>
      </w:r>
    </w:p>
    <w:p w:rsidR="00000000" w:rsidRPr="005270EB" w:rsidP="005270EB">
      <w:pPr>
        <w:pStyle w:val="ListBullet2"/>
      </w:pPr>
      <w:r w:rsidRPr="005270EB">
        <w:t>consecutive and simultaneous interpreting and the differences between the two</w:t>
      </w:r>
    </w:p>
    <w:p w:rsidR="00000000" w:rsidRPr="005270EB" w:rsidP="005270EB">
      <w:pPr>
        <w:pStyle w:val="ListBullet2"/>
      </w:pPr>
      <w:r w:rsidRPr="005270EB">
        <w:t>tandem and group interpreting</w:t>
      </w:r>
    </w:p>
    <w:p w:rsidR="00000000" w:rsidRPr="005270EB" w:rsidP="005270EB">
      <w:pPr>
        <w:pStyle w:val="ListBullet2"/>
      </w:pPr>
      <w:r w:rsidRPr="005270EB">
        <w:t>source language</w:t>
      </w:r>
    </w:p>
    <w:p w:rsidR="00000000" w:rsidRPr="005270EB" w:rsidP="005270EB">
      <w:pPr>
        <w:pStyle w:val="ListBullet2"/>
      </w:pPr>
      <w:r w:rsidRPr="005270EB">
        <w:t>target language</w:t>
      </w:r>
    </w:p>
    <w:p w:rsidR="00000000" w:rsidRPr="005270EB" w:rsidP="005270EB">
      <w:pPr>
        <w:pStyle w:val="ListBullet2"/>
      </w:pPr>
      <w:r w:rsidRPr="005270EB">
        <w:t>dominant</w:t>
      </w:r>
      <w:r w:rsidRPr="005270EB">
        <w:t xml:space="preserve"> language</w:t>
      </w:r>
    </w:p>
    <w:p w:rsidR="00000000" w:rsidRPr="005270EB" w:rsidP="005270EB">
      <w:pPr>
        <w:pStyle w:val="ListBullet"/>
      </w:pPr>
      <w:r w:rsidRPr="005270EB">
        <w:t>different contexts in which Auslan interpreters provide services and an overview of different interpreting requirements which apply</w:t>
      </w:r>
    </w:p>
    <w:p w:rsidR="00000000" w:rsidRPr="005270EB" w:rsidP="005270EB">
      <w:pPr>
        <w:pStyle w:val="ListBullet"/>
      </w:pPr>
      <w:r w:rsidRPr="005270EB">
        <w:t>environmental factors that can assist or detract from quality Auslan interpretation and how to adapt to these:</w:t>
      </w:r>
    </w:p>
    <w:p w:rsidR="00000000" w:rsidRPr="005270EB" w:rsidP="005270EB">
      <w:pPr>
        <w:pStyle w:val="ListBullet2"/>
      </w:pPr>
      <w:r w:rsidRPr="005270EB">
        <w:t>r</w:t>
      </w:r>
      <w:r w:rsidRPr="005270EB">
        <w:t>oom size, layout and seating configuration</w:t>
      </w:r>
    </w:p>
    <w:p w:rsidR="00000000" w:rsidRPr="005270EB" w:rsidP="005270EB">
      <w:pPr>
        <w:pStyle w:val="ListBullet2"/>
      </w:pPr>
      <w:r w:rsidRPr="005270EB">
        <w:t>light</w:t>
      </w:r>
    </w:p>
    <w:p w:rsidR="00000000" w:rsidRPr="005270EB" w:rsidP="005270EB">
      <w:pPr>
        <w:pStyle w:val="ListBullet2"/>
      </w:pPr>
      <w:r w:rsidRPr="005270EB">
        <w:t>noise</w:t>
      </w:r>
    </w:p>
    <w:p w:rsidR="00000000" w:rsidRPr="005270EB" w:rsidP="005270EB">
      <w:pPr>
        <w:pStyle w:val="ListBullet2"/>
      </w:pPr>
      <w:r w:rsidRPr="005270EB">
        <w:t>distractions from other people present</w:t>
      </w:r>
    </w:p>
    <w:p w:rsidR="00000000" w:rsidRPr="005270EB" w:rsidP="005270EB">
      <w:pPr>
        <w:pStyle w:val="ListBullet"/>
      </w:pPr>
      <w:r w:rsidRPr="005270EB">
        <w:t>employment or contract opportunities and conditions which apply:</w:t>
      </w:r>
    </w:p>
    <w:p w:rsidR="00000000" w:rsidRPr="005270EB" w:rsidP="005270EB">
      <w:pPr>
        <w:pStyle w:val="ListBullet2"/>
      </w:pPr>
      <w:r w:rsidRPr="005270EB">
        <w:t>key employers and types of positions, including agencies and booking offices</w:t>
      </w:r>
    </w:p>
    <w:p w:rsidR="00000000" w:rsidRPr="005270EB" w:rsidP="005270EB">
      <w:pPr>
        <w:pStyle w:val="ListBullet2"/>
      </w:pPr>
      <w:r w:rsidRPr="005270EB">
        <w:t>contract opportunities - full time, part time, freelance</w:t>
      </w:r>
    </w:p>
    <w:p w:rsidR="00000000" w:rsidRPr="005270EB" w:rsidP="005270EB">
      <w:pPr>
        <w:pStyle w:val="ListBullet2"/>
      </w:pPr>
      <w:r w:rsidRPr="005270EB">
        <w:t>typical salaries and allowances</w:t>
      </w:r>
    </w:p>
    <w:p w:rsidR="00000000" w:rsidRPr="005270EB" w:rsidP="005270EB">
      <w:pPr>
        <w:pStyle w:val="ListBullet2"/>
      </w:pPr>
      <w:r w:rsidRPr="005270EB">
        <w:t>qualifications and quality assurance certification required</w:t>
      </w:r>
    </w:p>
    <w:p w:rsidR="00000000" w:rsidRPr="005270EB" w:rsidP="005270EB">
      <w:pPr>
        <w:pStyle w:val="ListBullet2"/>
      </w:pPr>
      <w:r w:rsidRPr="005270EB">
        <w:t>team interpreting roles</w:t>
      </w:r>
    </w:p>
    <w:p w:rsidR="00000000" w:rsidRPr="005270EB" w:rsidP="005270EB">
      <w:pPr>
        <w:pStyle w:val="ListBullet"/>
      </w:pPr>
      <w:r w:rsidRPr="005270EB">
        <w:t>principles and practices of professional conduct for interpreters, to include:</w:t>
      </w:r>
    </w:p>
    <w:p w:rsidR="00000000" w:rsidRPr="005270EB" w:rsidP="005270EB">
      <w:pPr>
        <w:pStyle w:val="ListBullet2"/>
      </w:pPr>
      <w:r w:rsidRPr="005270EB">
        <w:t>co</w:t>
      </w:r>
      <w:r w:rsidRPr="005270EB">
        <w:t>nfidentiality</w:t>
      </w:r>
    </w:p>
    <w:p w:rsidR="00000000" w:rsidRPr="005270EB" w:rsidP="005270EB">
      <w:pPr>
        <w:pStyle w:val="ListBullet2"/>
      </w:pPr>
      <w:r w:rsidRPr="005270EB">
        <w:t>impartiality</w:t>
      </w:r>
    </w:p>
    <w:p w:rsidR="00000000" w:rsidRPr="005270EB" w:rsidP="005270EB">
      <w:pPr>
        <w:pStyle w:val="ListBullet2"/>
      </w:pPr>
      <w:r w:rsidRPr="005270EB">
        <w:t>unobtrusiveness</w:t>
      </w:r>
    </w:p>
    <w:p w:rsidR="00000000" w:rsidRPr="005270EB" w:rsidP="005270EB">
      <w:pPr>
        <w:pStyle w:val="ListBullet2"/>
      </w:pPr>
      <w:r w:rsidRPr="005270EB">
        <w:t>appropriate attire</w:t>
      </w:r>
    </w:p>
    <w:p w:rsidR="00000000" w:rsidRPr="005270EB" w:rsidP="005270EB">
      <w:pPr>
        <w:pStyle w:val="ListBullet2"/>
      </w:pPr>
      <w:r w:rsidRPr="005270EB">
        <w:t>appropriate introduction with both clients</w:t>
      </w:r>
    </w:p>
    <w:p w:rsidR="00000000" w:rsidRPr="005270EB" w:rsidP="005270EB">
      <w:pPr>
        <w:pStyle w:val="ListBullet2"/>
      </w:pPr>
      <w:r w:rsidRPr="005270EB">
        <w:t>pre assignment interview</w:t>
      </w:r>
    </w:p>
    <w:p w:rsidR="00000000" w:rsidRPr="005270EB" w:rsidP="005270EB">
      <w:pPr>
        <w:pStyle w:val="ListBullet2"/>
      </w:pPr>
      <w:r w:rsidRPr="005270EB">
        <w:t>professional relationships</w:t>
      </w:r>
    </w:p>
    <w:p w:rsidR="00000000" w:rsidRPr="005270EB" w:rsidP="005270EB">
      <w:pPr>
        <w:pStyle w:val="ListBullet"/>
      </w:pPr>
      <w:r w:rsidRPr="005270EB">
        <w:t xml:space="preserve">the existence of the Australian Sign Language Interpreters’ Association (ASLIA) Code </w:t>
      </w:r>
      <w:r w:rsidRPr="005270EB">
        <w:t>of Ethics and a broad overview of ethical requirements that apply to sign language interpreters</w:t>
      </w:r>
    </w:p>
    <w:p w:rsidR="00000000" w:rsidRPr="005270EB" w:rsidP="005270EB">
      <w:pPr>
        <w:pStyle w:val="ListBullet"/>
      </w:pPr>
      <w:r w:rsidRPr="005270EB">
        <w:t>qualifications available to Auslan interpreters at a vocational and higher educational level</w:t>
      </w:r>
    </w:p>
    <w:p w:rsidR="00000000" w:rsidRPr="005270EB" w:rsidP="005270EB">
      <w:pPr>
        <w:pStyle w:val="ListBullet"/>
      </w:pPr>
      <w:r w:rsidRPr="005270EB">
        <w:t>a broad overview of the role the National Accreditation Authority f</w:t>
      </w:r>
      <w:r w:rsidRPr="005270EB">
        <w:t>or Translators and Interpreters (NAATI) and key points about services it provides to maintain high standards for interpreters</w:t>
      </w:r>
    </w:p>
    <w:p w:rsidR="00000000" w:rsidRPr="005270EB" w:rsidP="005270EB">
      <w:pPr>
        <w:pStyle w:val="ListBullet"/>
      </w:pPr>
      <w:r w:rsidRPr="005270EB">
        <w:t>professional development opportunities for interpreters and how these assist in skill and career development:</w:t>
      </w:r>
    </w:p>
    <w:p w:rsidR="00000000" w:rsidRPr="005270EB" w:rsidP="005270EB">
      <w:pPr>
        <w:pStyle w:val="ListBullet2"/>
      </w:pPr>
      <w:r w:rsidRPr="005270EB">
        <w:t>membership of profe</w:t>
      </w:r>
      <w:r w:rsidRPr="005270EB">
        <w:t>ssional associations</w:t>
      </w:r>
    </w:p>
    <w:p w:rsidR="00000000" w:rsidRPr="005270EB" w:rsidP="005270EB">
      <w:pPr>
        <w:pStyle w:val="ListBullet2"/>
      </w:pPr>
      <w:r w:rsidRPr="005270EB">
        <w:t>mentoring and work experience</w:t>
      </w:r>
    </w:p>
    <w:p w:rsidR="00000000" w:rsidRPr="005270EB" w:rsidP="005270EB">
      <w:pPr>
        <w:pStyle w:val="ListBullet2"/>
      </w:pPr>
      <w:r w:rsidRPr="005270EB">
        <w:t>attending conferences.</w:t>
      </w:r>
    </w:p>
    <w:p w:rsidR="00000000" w:rsidRPr="005270EB" w:rsidP="005270EB">
      <w:pPr>
        <w:pStyle w:val="ListBullet"/>
      </w:pPr>
      <w:r w:rsidRPr="005270EB">
        <w:t>work health and safety risks specific to the Auslan interpreter role and methods used to manage these.</w:t>
      </w:r>
    </w:p>
    <w:p w:rsidR="00000000" w:rsidRPr="005270EB" w:rsidP="005270EB">
      <w:pPr>
        <w:pStyle w:val="AllowPageBreak"/>
      </w:pPr>
    </w:p>
    <w:p w:rsidR="00000000" w:rsidRPr="005270EB" w:rsidP="005270EB">
      <w:pPr>
        <w:pStyle w:val="Heading1"/>
      </w:pPr>
      <w:bookmarkStart w:id="4" w:name="O_962991"/>
      <w:bookmarkEnd w:id="4"/>
      <w:r w:rsidRPr="005270EB">
        <w:t>Assessment Conditions</w:t>
      </w:r>
    </w:p>
    <w:p w:rsidR="00000000" w:rsidRPr="005270EB" w:rsidP="000D70F2">
      <w:pPr>
        <w:pStyle w:val="BodyText"/>
      </w:pPr>
      <w:r w:rsidRPr="005270EB">
        <w:t>Assessment must ensure use of:</w:t>
      </w:r>
    </w:p>
    <w:p w:rsidR="00000000" w:rsidRPr="005270EB" w:rsidP="005270EB">
      <w:pPr>
        <w:pStyle w:val="ListBullet"/>
      </w:pPr>
      <w:r w:rsidRPr="005270EB">
        <w:t>compute</w:t>
      </w:r>
      <w:r w:rsidRPr="005270EB">
        <w:t>rs and the Internet to search for information</w:t>
      </w:r>
    </w:p>
    <w:p w:rsidR="00000000" w:rsidRPr="005270EB" w:rsidP="005270EB">
      <w:pPr>
        <w:pStyle w:val="ListBullet"/>
      </w:pPr>
      <w:r w:rsidRPr="005270EB">
        <w:t>hard copy or online resources about:</w:t>
      </w:r>
    </w:p>
    <w:p w:rsidR="00000000" w:rsidRPr="005270EB" w:rsidP="005270EB">
      <w:pPr>
        <w:pStyle w:val="ListBullet2"/>
      </w:pPr>
      <w:r w:rsidRPr="005270EB">
        <w:t>employment conditions</w:t>
      </w:r>
    </w:p>
    <w:p w:rsidR="00000000" w:rsidRPr="005270EB" w:rsidP="005270EB">
      <w:pPr>
        <w:pStyle w:val="ListBullet2"/>
      </w:pPr>
      <w:r w:rsidRPr="005270EB">
        <w:t>qualifications available to Auslan interpreters</w:t>
      </w:r>
    </w:p>
    <w:p w:rsidR="00000000" w:rsidRPr="005270EB" w:rsidP="005270EB">
      <w:pPr>
        <w:pStyle w:val="ListBullet2"/>
      </w:pPr>
      <w:r w:rsidRPr="005270EB">
        <w:t>quality assurance certification</w:t>
      </w:r>
    </w:p>
    <w:p w:rsidR="00000000" w:rsidRPr="005270EB" w:rsidP="005270EB">
      <w:pPr>
        <w:pStyle w:val="ListBullet2"/>
      </w:pPr>
      <w:r w:rsidRPr="005270EB">
        <w:t>professional development opportunities</w:t>
      </w:r>
    </w:p>
    <w:p w:rsidR="00000000" w:rsidRPr="005270EB" w:rsidP="005270EB">
      <w:pPr>
        <w:pStyle w:val="ListBullet2"/>
      </w:pPr>
      <w:r w:rsidRPr="005270EB">
        <w:t>codes of ethics.</w:t>
      </w:r>
    </w:p>
    <w:p w:rsidR="00000000" w:rsidRPr="005270EB" w:rsidP="000D70F2">
      <w:pPr>
        <w:pStyle w:val="BodyText"/>
      </w:pPr>
      <w:r w:rsidRPr="005270EB">
        <w:t>Assessors must satisfy the Standards for Registered Training Organisations requirements for assessors, and:</w:t>
      </w:r>
    </w:p>
    <w:p w:rsidR="00000000" w:rsidRPr="005270EB" w:rsidP="005270EB">
      <w:pPr>
        <w:pStyle w:val="ListBullet"/>
      </w:pPr>
      <w:r w:rsidRPr="005270EB">
        <w:t>have at least three years’ experience as an Auslan interpreter, or</w:t>
      </w:r>
    </w:p>
    <w:p w:rsidR="00000000" w:rsidRPr="005270EB" w:rsidP="005270EB">
      <w:pPr>
        <w:pStyle w:val="ListBullet"/>
      </w:pPr>
      <w:r w:rsidRPr="005270EB">
        <w:t>have at least three years’ experience in interacting with the Deaf community and</w:t>
      </w:r>
      <w:r w:rsidRPr="005270EB">
        <w:t xml:space="preserve"> Auslan interpreters.</w:t>
      </w:r>
    </w:p>
    <w:p w:rsidR="00000000" w:rsidRPr="005270EB" w:rsidP="005270EB">
      <w:pPr>
        <w:pStyle w:val="AllowPageBreak"/>
      </w:pPr>
    </w:p>
    <w:p w:rsidR="00000000" w:rsidRPr="005270EB" w:rsidP="005270EB">
      <w:pPr>
        <w:pStyle w:val="Heading1"/>
      </w:pPr>
      <w:bookmarkStart w:id="5" w:name="O_962994"/>
      <w:bookmarkEnd w:id="5"/>
      <w:r w:rsidRPr="005270EB">
        <w:t>Links</w:t>
      </w:r>
    </w:p>
    <w:p w:rsidR="00000000" w:rsidRPr="005270EB" w:rsidP="000D70F2">
      <w:pPr>
        <w:pStyle w:val="BodyText"/>
      </w:pPr>
      <w:r w:rsidRPr="005270E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D491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270EB" w:rsidP="005270EB"/>
    <w:sectPr w:rsidSect="00527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B" w:rsidRPr="000D70F2" w:rsidP="000D70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F2" w:rsidP="00527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0F2" w:rsidP="00527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70F2" w:rsidP="00527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0EB" w:rsidRPr="000D70F2" w:rsidP="000D70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F2" w:rsidRPr="002D2AF8" w:rsidP="00527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PSPLAN015 Research the role of an Auslan interpreter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D70F2" w:rsidP="00527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E6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5C3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EE1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0EB"/>
  </w:style>
  <w:style w:type="character" w:customStyle="1" w:styleId="Heading1Char">
    <w:name w:val="Heading 1 Char"/>
    <w:basedOn w:val="DefaultParagraphFont"/>
    <w:link w:val="Heading1"/>
    <w:rsid w:val="00527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0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70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0EB"/>
    <w:rPr>
      <w:b/>
      <w:spacing w:val="0"/>
    </w:rPr>
  </w:style>
  <w:style w:type="paragraph" w:customStyle="1" w:styleId="SuperTitle">
    <w:name w:val="SuperTitle"/>
    <w:basedOn w:val="Title"/>
    <w:rsid w:val="00527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0EB"/>
    <w:rPr>
      <w:i/>
    </w:rPr>
  </w:style>
  <w:style w:type="paragraph" w:styleId="Caption">
    <w:name w:val="caption"/>
    <w:basedOn w:val="BodyText"/>
    <w:next w:val="Normal"/>
    <w:qFormat/>
    <w:rsid w:val="00527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0EB"/>
  </w:style>
  <w:style w:type="paragraph" w:styleId="TableofFigures">
    <w:name w:val="table of figures"/>
    <w:basedOn w:val="Normal"/>
    <w:next w:val="Normal"/>
    <w:semiHidden/>
    <w:rsid w:val="00527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0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0EB"/>
    <w:rPr>
      <w:rFonts w:ascii="Wingdings" w:hAnsi="Wingdings"/>
    </w:rPr>
  </w:style>
  <w:style w:type="paragraph" w:customStyle="1" w:styleId="TableHeading">
    <w:name w:val="Table Heading"/>
    <w:basedOn w:val="HeadingBase"/>
    <w:rsid w:val="00527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0EB"/>
    <w:rPr>
      <w:color w:val="0033CC"/>
      <w:u w:val="none"/>
    </w:rPr>
  </w:style>
  <w:style w:type="paragraph" w:customStyle="1" w:styleId="BodyTextRight">
    <w:name w:val="Body Text Right"/>
    <w:basedOn w:val="BodyText"/>
    <w:rsid w:val="00527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0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0EB"/>
    <w:rPr>
      <w:sz w:val="32"/>
    </w:rPr>
  </w:style>
  <w:style w:type="paragraph" w:customStyle="1" w:styleId="HeadingProcedure">
    <w:name w:val="Heading Procedure"/>
    <w:basedOn w:val="HeadingBase"/>
    <w:next w:val="Normal"/>
    <w:rsid w:val="00527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0EB"/>
    <w:pPr>
      <w:spacing w:before="60" w:after="60"/>
    </w:pPr>
  </w:style>
  <w:style w:type="paragraph" w:styleId="ListContinue">
    <w:name w:val="List Continue"/>
    <w:basedOn w:val="List"/>
    <w:rsid w:val="005270EB"/>
    <w:pPr>
      <w:ind w:firstLine="0"/>
    </w:pPr>
  </w:style>
  <w:style w:type="paragraph" w:customStyle="1" w:styleId="ListNote">
    <w:name w:val="List Note"/>
    <w:basedOn w:val="List"/>
    <w:rsid w:val="00527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0EB"/>
    <w:rPr>
      <w:rFonts w:ascii="Courier New" w:hAnsi="Courier New"/>
    </w:rPr>
  </w:style>
  <w:style w:type="paragraph" w:customStyle="1" w:styleId="NoteBullet">
    <w:name w:val="Note Bullet"/>
    <w:basedOn w:val="Note"/>
    <w:rsid w:val="00527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0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0EB"/>
    <w:rPr>
      <w:b/>
      <w:smallCaps/>
    </w:rPr>
  </w:style>
  <w:style w:type="paragraph" w:customStyle="1" w:styleId="TableListNumber">
    <w:name w:val="Table List Number"/>
    <w:basedOn w:val="ListNumber"/>
    <w:rsid w:val="00527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0EB"/>
    <w:pPr>
      <w:numPr>
        <w:numId w:val="9"/>
      </w:numPr>
    </w:pPr>
  </w:style>
  <w:style w:type="paragraph" w:customStyle="1" w:styleId="ListAlpha2">
    <w:name w:val="List Alpha 2"/>
    <w:basedOn w:val="List2"/>
    <w:rsid w:val="005270EB"/>
    <w:pPr>
      <w:numPr>
        <w:numId w:val="8"/>
      </w:numPr>
    </w:pPr>
  </w:style>
  <w:style w:type="paragraph" w:styleId="List2">
    <w:name w:val="List 2"/>
    <w:basedOn w:val="BodyText"/>
    <w:rsid w:val="00527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0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0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0EB"/>
    <w:pPr>
      <w:numPr>
        <w:numId w:val="4"/>
      </w:numPr>
    </w:pPr>
  </w:style>
  <w:style w:type="paragraph" w:styleId="ListContinue2">
    <w:name w:val="List Continue 2"/>
    <w:basedOn w:val="List2"/>
    <w:rsid w:val="005270EB"/>
    <w:pPr>
      <w:ind w:firstLine="0"/>
    </w:pPr>
  </w:style>
  <w:style w:type="paragraph" w:styleId="ListContinue3">
    <w:name w:val="List Continue 3"/>
    <w:basedOn w:val="List3"/>
    <w:rsid w:val="005270EB"/>
    <w:pPr>
      <w:ind w:left="1021" w:firstLine="0"/>
    </w:pPr>
  </w:style>
  <w:style w:type="paragraph" w:styleId="ListContinue4">
    <w:name w:val="List Continue 4"/>
    <w:basedOn w:val="List4"/>
    <w:rsid w:val="005270EB"/>
    <w:pPr>
      <w:ind w:firstLine="0"/>
    </w:pPr>
  </w:style>
  <w:style w:type="paragraph" w:styleId="ListContinue5">
    <w:name w:val="List Continue 5"/>
    <w:basedOn w:val="List5"/>
    <w:rsid w:val="005270EB"/>
    <w:pPr>
      <w:ind w:firstLine="0"/>
    </w:pPr>
  </w:style>
  <w:style w:type="paragraph" w:styleId="ListNumber3">
    <w:name w:val="List Number 3"/>
    <w:basedOn w:val="List3"/>
    <w:rsid w:val="005270EB"/>
    <w:pPr>
      <w:numPr>
        <w:numId w:val="5"/>
      </w:numPr>
    </w:pPr>
  </w:style>
  <w:style w:type="paragraph" w:styleId="ListNumber4">
    <w:name w:val="List Number 4"/>
    <w:basedOn w:val="List4"/>
    <w:rsid w:val="005270EB"/>
    <w:pPr>
      <w:numPr>
        <w:numId w:val="6"/>
      </w:numPr>
    </w:pPr>
  </w:style>
  <w:style w:type="paragraph" w:styleId="ListNumber5">
    <w:name w:val="List Number 5"/>
    <w:basedOn w:val="List5"/>
    <w:rsid w:val="005270EB"/>
    <w:pPr>
      <w:numPr>
        <w:numId w:val="7"/>
      </w:numPr>
    </w:pPr>
  </w:style>
  <w:style w:type="paragraph" w:styleId="BlockText">
    <w:name w:val="Block Text"/>
    <w:basedOn w:val="Normal"/>
    <w:rsid w:val="00527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0EB"/>
    <w:rPr>
      <w:sz w:val="16"/>
      <w:vertAlign w:val="superscript"/>
    </w:rPr>
  </w:style>
  <w:style w:type="character" w:customStyle="1" w:styleId="Symbols">
    <w:name w:val="Symbols"/>
    <w:basedOn w:val="DefaultParagraphFont"/>
    <w:rsid w:val="005270EB"/>
    <w:rPr>
      <w:rFonts w:ascii="Symbol" w:hAnsi="Symbol"/>
    </w:rPr>
  </w:style>
  <w:style w:type="character" w:customStyle="1" w:styleId="MenuOptions">
    <w:name w:val="Menu Options"/>
    <w:basedOn w:val="DefaultParagraphFont"/>
    <w:rsid w:val="00527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0EB"/>
    <w:rPr>
      <w:b/>
    </w:rPr>
  </w:style>
  <w:style w:type="character" w:customStyle="1" w:styleId="Underlined">
    <w:name w:val="Underlined"/>
    <w:basedOn w:val="DefaultParagraphFont"/>
    <w:rsid w:val="005270EB"/>
    <w:rPr>
      <w:u w:val="single"/>
    </w:rPr>
  </w:style>
  <w:style w:type="paragraph" w:customStyle="1" w:styleId="TableBodyTextRight">
    <w:name w:val="Table Body Text Right"/>
    <w:basedOn w:val="TableBodyText"/>
    <w:rsid w:val="00527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0EB"/>
    <w:rPr>
      <w:sz w:val="18"/>
    </w:rPr>
  </w:style>
  <w:style w:type="paragraph" w:customStyle="1" w:styleId="BodySmallRight">
    <w:name w:val="Body Small Right"/>
    <w:basedOn w:val="BodyTextRight"/>
    <w:rsid w:val="005270EB"/>
    <w:rPr>
      <w:sz w:val="18"/>
      <w:szCs w:val="18"/>
    </w:rPr>
  </w:style>
  <w:style w:type="paragraph" w:customStyle="1" w:styleId="MarginEdition">
    <w:name w:val="Margin Edition"/>
    <w:basedOn w:val="MarginNote"/>
    <w:rsid w:val="00527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0EB"/>
    <w:rPr>
      <w:sz w:val="2"/>
      <w:szCs w:val="2"/>
    </w:rPr>
  </w:style>
  <w:style w:type="character" w:customStyle="1" w:styleId="Small">
    <w:name w:val="Small"/>
    <w:basedOn w:val="DefaultParagraphFont"/>
    <w:rsid w:val="005270EB"/>
    <w:rPr>
      <w:sz w:val="16"/>
    </w:rPr>
  </w:style>
  <w:style w:type="paragraph" w:customStyle="1" w:styleId="WideTable">
    <w:name w:val="Wide Table"/>
    <w:basedOn w:val="Normal"/>
    <w:rsid w:val="00527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0EB"/>
  </w:style>
  <w:style w:type="paragraph" w:styleId="Quote">
    <w:name w:val="Quote"/>
    <w:basedOn w:val="Heading1"/>
    <w:link w:val="QuoteChar"/>
    <w:qFormat/>
    <w:rsid w:val="00527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0EB"/>
    <w:pPr>
      <w:pageBreakBefore/>
    </w:pPr>
  </w:style>
  <w:style w:type="paragraph" w:customStyle="1" w:styleId="Border">
    <w:name w:val="Border"/>
    <w:basedOn w:val="Normal"/>
    <w:qFormat/>
    <w:rsid w:val="00527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0EB"/>
    <w:rPr>
      <w:u w:val="single"/>
    </w:rPr>
  </w:style>
  <w:style w:type="character" w:customStyle="1" w:styleId="BoldandItalics">
    <w:name w:val="Bold and Italics"/>
    <w:qFormat/>
    <w:rsid w:val="005270EB"/>
    <w:rPr>
      <w:b/>
      <w:i/>
      <w:u w:val="none"/>
    </w:rPr>
  </w:style>
  <w:style w:type="paragraph" w:styleId="BalloonText">
    <w:name w:val="Balloon Text"/>
    <w:basedOn w:val="Normal"/>
    <w:link w:val="BalloonTextChar"/>
    <w:rsid w:val="00527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0EB"/>
    <w:pPr>
      <w:spacing w:before="0" w:after="0"/>
    </w:pPr>
  </w:style>
  <w:style w:type="paragraph" w:customStyle="1" w:styleId="BodyTextBold">
    <w:name w:val="Body Text Bold"/>
    <w:basedOn w:val="BodyText"/>
    <w:qFormat/>
    <w:rsid w:val="005270EB"/>
    <w:rPr>
      <w:b/>
    </w:rPr>
  </w:style>
  <w:style w:type="character" w:styleId="Hyperlink">
    <w:name w:val="Hyperlink"/>
    <w:basedOn w:val="DefaultParagraphFont"/>
    <w:uiPriority w:val="99"/>
    <w:unhideWhenUsed/>
    <w:rsid w:val="000D70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3511</Characters>
  <Application>Microsoft Office Word</Application>
  <DocSecurity>0</DocSecurity>
  <Lines>94</Lines>
  <Paragraphs>77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PSPLAN015 Research the role of an Auslan interpreter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