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4B6" w:rsidP="00F514B6">
      <w:pPr>
        <w:pStyle w:val="Title"/>
      </w:pPr>
      <w:r>
        <w:fldChar w:fldCharType="begin"/>
      </w:r>
      <w:r>
        <w:instrText xml:space="preserve"> TITLE   \* MERGEFORMAT </w:instrText>
      </w:r>
      <w:r>
        <w:fldChar w:fldCharType="separate"/>
      </w:r>
      <w:r>
        <w:t>PSPLAN011 Take notes for Deaf, hard of hearing and Deafblind people</w:t>
      </w:r>
      <w:r>
        <w:fldChar w:fldCharType="end"/>
      </w:r>
    </w:p>
    <w:p w:rsidR="00F514B6" w:rsidP="00F514B6">
      <w:pPr>
        <w:pStyle w:val="Version"/>
        <w:sectPr w:rsidSect="00DF4E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E7E" w:rsidP="00DF4E7E">
      <w:pPr>
        <w:pStyle w:val="SuperHeading"/>
      </w:pPr>
      <w:r w:rsidRPr="00DF4E7E">
        <w:t>PSPLAN011 Take notes for Deaf, hard of hearing and Deafblind people</w:t>
      </w:r>
    </w:p>
    <w:p w:rsidR="00000000" w:rsidRPr="00DF4E7E" w:rsidP="00DF4E7E">
      <w:pPr>
        <w:pStyle w:val="Heading1"/>
      </w:pPr>
      <w:bookmarkStart w:id="1" w:name="O_962902"/>
      <w:bookmarkEnd w:id="1"/>
      <w:r w:rsidRPr="00DF4E7E">
        <w:t>Modification History</w:t>
      </w:r>
    </w:p>
    <w:p w:rsidR="00000000" w:rsidRPr="00DF4E7E" w:rsidP="00F514B6">
      <w:pPr>
        <w:pStyle w:val="BodyText"/>
      </w:pPr>
      <w:r w:rsidRPr="00DF4E7E">
        <w:t>Not applicable.</w:t>
      </w:r>
    </w:p>
    <w:p w:rsidR="00000000" w:rsidRPr="00DF4E7E" w:rsidP="00DF4E7E">
      <w:pPr>
        <w:pStyle w:val="Heading1"/>
      </w:pPr>
      <w:bookmarkStart w:id="2" w:name="O_962903"/>
      <w:bookmarkEnd w:id="2"/>
      <w:r w:rsidRPr="00DF4E7E">
        <w:t>Application</w:t>
      </w:r>
    </w:p>
    <w:p w:rsidR="00000000" w:rsidRPr="00DF4E7E" w:rsidP="00F514B6">
      <w:pPr>
        <w:pStyle w:val="BodyText"/>
      </w:pPr>
      <w:r w:rsidRPr="00DF4E7E">
        <w:t xml:space="preserve">This unit describes the performance </w:t>
      </w:r>
      <w:r w:rsidRPr="00DF4E7E">
        <w:t>outcomes, skills and knowledge required to act as a note taker for Deaf, hard of hearing and Deafblind people.</w:t>
      </w:r>
    </w:p>
    <w:p w:rsidR="00000000" w:rsidRPr="00DF4E7E" w:rsidP="00F514B6">
      <w:pPr>
        <w:pStyle w:val="BodyText"/>
      </w:pPr>
      <w:r w:rsidRPr="00DF4E7E">
        <w:t>It requires the ability to negotiate requirements and agreements for note taking, record notes that are appropriate to Deaf clients’ needs, evalu</w:t>
      </w:r>
      <w:r w:rsidRPr="00DF4E7E">
        <w:t>ate the effectiveness of the notes with the client and present notes of an agreed quality and format.</w:t>
      </w:r>
    </w:p>
    <w:p w:rsidR="00000000" w:rsidRPr="00DF4E7E" w:rsidP="00F514B6">
      <w:pPr>
        <w:pStyle w:val="BodyText"/>
      </w:pPr>
      <w:r w:rsidRPr="00DF4E7E">
        <w:t xml:space="preserve">This unit applies to individuals who record notes for a variety of purposes which might include those for training and education, mediation, counselling, </w:t>
      </w:r>
      <w:r w:rsidRPr="00DF4E7E">
        <w:t>court appearances and medical treatment. They work independently or under limited supervision and guidance from others, using discretion and judgement to manage client services.</w:t>
      </w:r>
    </w:p>
    <w:p w:rsidR="00000000" w:rsidRPr="00DF4E7E" w:rsidP="00F514B6">
      <w:pPr>
        <w:pStyle w:val="BodyText"/>
      </w:pPr>
      <w:r w:rsidRPr="00DF4E7E">
        <w:t xml:space="preserve">No occupational licensing, certification or specific legislative requirements </w:t>
      </w:r>
      <w:r w:rsidRPr="00DF4E7E">
        <w:t>apply to this unit at the time of publication.</w:t>
      </w:r>
    </w:p>
    <w:p w:rsidR="00000000" w:rsidRPr="00DF4E7E" w:rsidP="00DF4E7E">
      <w:pPr>
        <w:pStyle w:val="Heading1"/>
      </w:pPr>
      <w:bookmarkStart w:id="3" w:name="O_962904"/>
      <w:bookmarkEnd w:id="3"/>
      <w:r w:rsidRPr="00DF4E7E">
        <w:t>Pre-requisite Unit</w:t>
      </w:r>
    </w:p>
    <w:p w:rsidR="00000000" w:rsidRPr="00DF4E7E" w:rsidP="00F514B6">
      <w:pPr>
        <w:pStyle w:val="BodyText"/>
      </w:pPr>
      <w:r w:rsidRPr="00DF4E7E">
        <w:t>Nil</w:t>
      </w:r>
    </w:p>
    <w:p w:rsidR="00000000" w:rsidRPr="00DF4E7E" w:rsidP="00DF4E7E">
      <w:pPr>
        <w:pStyle w:val="Heading1"/>
      </w:pPr>
      <w:bookmarkStart w:id="4" w:name="O_962905"/>
      <w:bookmarkEnd w:id="4"/>
      <w:r w:rsidRPr="00DF4E7E">
        <w:t>Competency Field</w:t>
      </w:r>
    </w:p>
    <w:p w:rsidR="00000000" w:rsidRPr="00DF4E7E" w:rsidP="00F514B6">
      <w:pPr>
        <w:pStyle w:val="BodyText"/>
      </w:pPr>
      <w:r w:rsidRPr="00DF4E7E">
        <w:t>Languages other than English - Auslan</w:t>
      </w:r>
    </w:p>
    <w:p w:rsidR="00000000" w:rsidRPr="00DF4E7E" w:rsidP="00DF4E7E">
      <w:pPr>
        <w:pStyle w:val="Heading1"/>
      </w:pPr>
      <w:bookmarkStart w:id="5" w:name="O_962907"/>
      <w:bookmarkEnd w:id="5"/>
      <w:r w:rsidRPr="00DF4E7E">
        <w:t>Elements and Performance Criteria</w:t>
      </w:r>
    </w:p>
    <w:tbl>
      <w:tblPr>
        <w:tblW w:w="0" w:type="auto"/>
        <w:tblLayout w:type="fixed"/>
        <w:tblCellMar>
          <w:left w:w="62" w:type="dxa"/>
          <w:right w:w="62" w:type="dxa"/>
        </w:tblCellMar>
        <w:tblLook w:val="0000"/>
      </w:tblPr>
      <w:tblGrid>
        <w:gridCol w:w="2520"/>
        <w:gridCol w:w="6130"/>
      </w:tblGrid>
      <w:tr w:rsidTr="00F514B6">
        <w:tblPrEx>
          <w:tblW w:w="0" w:type="auto"/>
          <w:tblLayout w:type="fixed"/>
          <w:tblCellMar>
            <w:left w:w="62" w:type="dxa"/>
            <w:right w:w="62" w:type="dxa"/>
          </w:tblCellMar>
          <w:tblLook w:val="0000"/>
        </w:tblPrEx>
        <w:trPr>
          <w:trHeight w:val="112"/>
        </w:trPr>
        <w:tc>
          <w:tcPr>
            <w:tcW w:w="2520" w:type="dxa"/>
            <w:tcBorders>
              <w:top w:val="nil"/>
              <w:left w:val="nil"/>
              <w:bottom w:val="nil"/>
              <w:right w:val="nil"/>
            </w:tcBorders>
            <w:tcMar>
              <w:top w:w="0" w:type="dxa"/>
              <w:left w:w="62" w:type="dxa"/>
              <w:bottom w:w="0" w:type="dxa"/>
              <w:right w:w="62" w:type="dxa"/>
            </w:tcMar>
          </w:tcPr>
          <w:p w:rsidR="00000000" w:rsidRPr="00DF4E7E" w:rsidP="00DF4E7E">
            <w:pPr>
              <w:pStyle w:val="BodyText"/>
            </w:pPr>
            <w:r w:rsidRPr="00DF4E7E">
              <w:rPr>
                <w:rStyle w:val="SpecialBold"/>
              </w:rPr>
              <w:t xml:space="preserve">ELEMENTS </w:t>
            </w:r>
          </w:p>
        </w:tc>
        <w:tc>
          <w:tcPr>
            <w:tcW w:w="6130" w:type="dxa"/>
            <w:tcBorders>
              <w:top w:val="nil"/>
              <w:left w:val="nil"/>
              <w:bottom w:val="nil"/>
              <w:right w:val="nil"/>
            </w:tcBorders>
            <w:tcMar>
              <w:top w:w="0" w:type="dxa"/>
              <w:left w:w="62" w:type="dxa"/>
              <w:bottom w:w="0" w:type="dxa"/>
              <w:right w:w="62" w:type="dxa"/>
            </w:tcMar>
          </w:tcPr>
          <w:p w:rsidR="00000000" w:rsidP="00DF4E7E">
            <w:pPr>
              <w:pStyle w:val="BodyText"/>
              <w:rPr>
                <w:lang w:val="en-NZ"/>
              </w:rPr>
            </w:pPr>
            <w:r w:rsidRPr="00DF4E7E">
              <w:rPr>
                <w:rStyle w:val="SpecialBold"/>
              </w:rPr>
              <w:t xml:space="preserve">PERFORMANCE CRITERIA </w:t>
            </w:r>
          </w:p>
        </w:tc>
      </w:tr>
      <w:tr w:rsidTr="00F514B6">
        <w:tblPrEx>
          <w:tblW w:w="0" w:type="auto"/>
          <w:tblLayout w:type="fixed"/>
          <w:tblCellMar>
            <w:left w:w="62" w:type="dxa"/>
            <w:right w:w="62" w:type="dxa"/>
          </w:tblCellMar>
          <w:tblLook w:val="0000"/>
        </w:tblPrEx>
        <w:trPr>
          <w:trHeight w:val="187"/>
        </w:trPr>
        <w:tc>
          <w:tcPr>
            <w:tcW w:w="2520" w:type="dxa"/>
            <w:tcBorders>
              <w:top w:val="nil"/>
              <w:left w:val="nil"/>
              <w:bottom w:val="nil"/>
              <w:right w:val="nil"/>
            </w:tcBorders>
            <w:tcMar>
              <w:top w:w="0" w:type="dxa"/>
              <w:left w:w="62" w:type="dxa"/>
              <w:bottom w:w="0" w:type="dxa"/>
              <w:right w:w="62" w:type="dxa"/>
            </w:tcMar>
          </w:tcPr>
          <w:p w:rsidR="00000000" w:rsidRPr="00DF4E7E" w:rsidP="00DF4E7E">
            <w:pPr>
              <w:pStyle w:val="BodyText"/>
            </w:pPr>
            <w:r w:rsidRPr="00DF4E7E">
              <w:rPr>
                <w:rStyle w:val="Emphasis"/>
              </w:rPr>
              <w:t>Elements desc</w:t>
            </w:r>
            <w:r w:rsidRPr="00DF4E7E">
              <w:rPr>
                <w:rStyle w:val="Emphasis"/>
              </w:rPr>
              <w:t xml:space="preserve">ribe the essential outcomes </w:t>
            </w:r>
          </w:p>
        </w:tc>
        <w:tc>
          <w:tcPr>
            <w:tcW w:w="6130" w:type="dxa"/>
            <w:tcBorders>
              <w:top w:val="nil"/>
              <w:left w:val="nil"/>
              <w:bottom w:val="nil"/>
              <w:right w:val="nil"/>
            </w:tcBorders>
            <w:tcMar>
              <w:top w:w="0" w:type="dxa"/>
              <w:left w:w="62" w:type="dxa"/>
              <w:bottom w:w="0" w:type="dxa"/>
              <w:right w:w="62" w:type="dxa"/>
            </w:tcMar>
          </w:tcPr>
          <w:p w:rsidR="00000000" w:rsidP="00DF4E7E">
            <w:pPr>
              <w:pStyle w:val="BodyText"/>
              <w:rPr>
                <w:lang w:val="en-NZ"/>
              </w:rPr>
            </w:pPr>
            <w:r w:rsidRPr="00DF4E7E">
              <w:rPr>
                <w:rStyle w:val="Emphasis"/>
              </w:rPr>
              <w:t xml:space="preserve">Performance criteria describe the performance needed to demonstrate achievement of the element. </w:t>
            </w:r>
          </w:p>
        </w:tc>
      </w:tr>
      <w:tr w:rsidTr="00F514B6">
        <w:tblPrEx>
          <w:tblW w:w="0" w:type="auto"/>
          <w:tblLayout w:type="fixed"/>
          <w:tblCellMar>
            <w:left w:w="62" w:type="dxa"/>
            <w:right w:w="62" w:type="dxa"/>
          </w:tblCellMar>
          <w:tblLook w:val="0000"/>
        </w:tblPrEx>
        <w:trPr>
          <w:trHeight w:val="653"/>
        </w:trPr>
        <w:tc>
          <w:tcPr>
            <w:tcW w:w="2520" w:type="dxa"/>
            <w:tcBorders>
              <w:top w:val="nil"/>
              <w:left w:val="nil"/>
              <w:bottom w:val="nil"/>
              <w:right w:val="nil"/>
            </w:tcBorders>
            <w:tcMar>
              <w:top w:w="0" w:type="dxa"/>
              <w:left w:w="62" w:type="dxa"/>
              <w:bottom w:w="0" w:type="dxa"/>
              <w:right w:w="62" w:type="dxa"/>
            </w:tcMar>
          </w:tcPr>
          <w:p w:rsidR="00000000" w:rsidP="00DF4E7E">
            <w:pPr>
              <w:pStyle w:val="List"/>
              <w:rPr>
                <w:lang w:val="en-NZ"/>
              </w:rPr>
            </w:pPr>
            <w:r w:rsidRPr="00DF4E7E">
              <w:t xml:space="preserve">1. Communicate effectively with Deaf, hard of hearing and Deafblind clients. </w:t>
            </w:r>
          </w:p>
        </w:tc>
        <w:tc>
          <w:tcPr>
            <w:tcW w:w="6130" w:type="dxa"/>
            <w:tcBorders>
              <w:top w:val="nil"/>
              <w:left w:val="nil"/>
              <w:bottom w:val="nil"/>
              <w:right w:val="nil"/>
            </w:tcBorders>
            <w:tcMar>
              <w:top w:w="0" w:type="dxa"/>
              <w:left w:w="62" w:type="dxa"/>
              <w:bottom w:w="0" w:type="dxa"/>
              <w:right w:w="62" w:type="dxa"/>
            </w:tcMar>
          </w:tcPr>
          <w:p w:rsidR="00000000" w:rsidRPr="00DF4E7E" w:rsidP="00DF4E7E">
            <w:pPr>
              <w:pStyle w:val="List"/>
            </w:pPr>
            <w:r w:rsidRPr="00DF4E7E">
              <w:t xml:space="preserve">1.1. Determine extent of client hearing and or sight loss, effects on clients and their specific communication needs. </w:t>
            </w:r>
          </w:p>
          <w:p w:rsidR="00000000" w:rsidP="00DF4E7E">
            <w:pPr>
              <w:pStyle w:val="List"/>
              <w:rPr>
                <w:lang w:val="en-NZ"/>
              </w:rPr>
            </w:pPr>
            <w:r w:rsidRPr="00DF4E7E">
              <w:t xml:space="preserve">1.2. Communicate with clients according to individual needs, ethical and culturally acceptable practices. </w:t>
            </w:r>
          </w:p>
        </w:tc>
      </w:tr>
      <w:tr w:rsidTr="00F514B6">
        <w:tblPrEx>
          <w:tblW w:w="0" w:type="auto"/>
          <w:tblLayout w:type="fixed"/>
          <w:tblCellMar>
            <w:left w:w="62" w:type="dxa"/>
            <w:right w:w="62" w:type="dxa"/>
          </w:tblCellMar>
          <w:tblLook w:val="0000"/>
        </w:tblPrEx>
        <w:trPr>
          <w:trHeight w:val="1411"/>
        </w:trPr>
        <w:tc>
          <w:tcPr>
            <w:tcW w:w="2520" w:type="dxa"/>
            <w:tcBorders>
              <w:top w:val="nil"/>
              <w:left w:val="nil"/>
              <w:bottom w:val="nil"/>
              <w:right w:val="nil"/>
            </w:tcBorders>
            <w:tcMar>
              <w:top w:w="0" w:type="dxa"/>
              <w:left w:w="62" w:type="dxa"/>
              <w:bottom w:w="0" w:type="dxa"/>
              <w:right w:w="62" w:type="dxa"/>
            </w:tcMar>
          </w:tcPr>
          <w:p w:rsidR="00000000" w:rsidP="00DF4E7E">
            <w:pPr>
              <w:pStyle w:val="List"/>
              <w:rPr>
                <w:lang w:val="en-NZ"/>
              </w:rPr>
            </w:pPr>
            <w:r w:rsidRPr="00DF4E7E">
              <w:t xml:space="preserve">2. Prepare to take notes for </w:t>
            </w:r>
            <w:r w:rsidRPr="00DF4E7E">
              <w:t xml:space="preserve">Deaf, hard of hearing and Deafblind clients. </w:t>
            </w:r>
          </w:p>
        </w:tc>
        <w:tc>
          <w:tcPr>
            <w:tcW w:w="6130" w:type="dxa"/>
            <w:tcBorders>
              <w:top w:val="nil"/>
              <w:left w:val="nil"/>
              <w:bottom w:val="nil"/>
              <w:right w:val="nil"/>
            </w:tcBorders>
            <w:tcMar>
              <w:top w:w="0" w:type="dxa"/>
              <w:left w:w="62" w:type="dxa"/>
              <w:bottom w:w="0" w:type="dxa"/>
              <w:right w:w="62" w:type="dxa"/>
            </w:tcMar>
          </w:tcPr>
          <w:p w:rsidR="00000000" w:rsidRPr="00DF4E7E" w:rsidP="00DF4E7E">
            <w:pPr>
              <w:pStyle w:val="List"/>
            </w:pPr>
            <w:r w:rsidRPr="00DF4E7E">
              <w:t xml:space="preserve">2.1. Explain the role of note taker to client and others involved in client service provision. </w:t>
            </w:r>
          </w:p>
          <w:p w:rsidR="00000000" w:rsidRPr="00DF4E7E" w:rsidP="00DF4E7E">
            <w:pPr>
              <w:pStyle w:val="List"/>
            </w:pPr>
            <w:r w:rsidRPr="00DF4E7E">
              <w:t>2.2. Discuss, with clients, purpose of notes, requirements for format and depth of information and agree to specif</w:t>
            </w:r>
            <w:r w:rsidRPr="00DF4E7E">
              <w:t xml:space="preserve">ic note taking requirements. </w:t>
            </w:r>
          </w:p>
          <w:p w:rsidR="00000000" w:rsidRPr="00DF4E7E" w:rsidP="00DF4E7E">
            <w:pPr>
              <w:pStyle w:val="List"/>
            </w:pPr>
            <w:r w:rsidRPr="00DF4E7E">
              <w:t xml:space="preserve">2.3. Discuss and arrange note taking services, seating and technology requirements with other service providers. </w:t>
            </w:r>
          </w:p>
          <w:p w:rsidR="00000000" w:rsidRPr="00DF4E7E" w:rsidP="00DF4E7E">
            <w:pPr>
              <w:pStyle w:val="List"/>
            </w:pPr>
            <w:r w:rsidRPr="00DF4E7E">
              <w:t xml:space="preserve">2.4. Identify and source relevant technology and other resources required for notetaking purpose and format. </w:t>
            </w:r>
          </w:p>
          <w:p w:rsidR="00000000" w:rsidP="00DF4E7E">
            <w:pPr>
              <w:pStyle w:val="List"/>
              <w:rPr>
                <w:lang w:val="en-NZ"/>
              </w:rPr>
            </w:pPr>
            <w:r w:rsidRPr="00DF4E7E">
              <w:t>2.</w:t>
            </w:r>
            <w:r w:rsidRPr="00DF4E7E">
              <w:t xml:space="preserve">5. Complete any required topical research prior to notetaking according to clients’ needs. </w:t>
            </w:r>
          </w:p>
        </w:tc>
      </w:tr>
      <w:tr w:rsidTr="00F514B6">
        <w:tblPrEx>
          <w:tblW w:w="0" w:type="auto"/>
          <w:tblLayout w:type="fixed"/>
          <w:tblCellMar>
            <w:left w:w="62" w:type="dxa"/>
            <w:right w:w="62" w:type="dxa"/>
          </w:tblCellMar>
          <w:tblLook w:val="0000"/>
        </w:tblPrEx>
        <w:trPr>
          <w:trHeight w:val="1538"/>
        </w:trPr>
        <w:tc>
          <w:tcPr>
            <w:tcW w:w="2520" w:type="dxa"/>
            <w:tcBorders>
              <w:top w:val="nil"/>
              <w:left w:val="nil"/>
              <w:bottom w:val="nil"/>
              <w:right w:val="nil"/>
            </w:tcBorders>
            <w:tcMar>
              <w:top w:w="0" w:type="dxa"/>
              <w:left w:w="62" w:type="dxa"/>
              <w:bottom w:w="0" w:type="dxa"/>
              <w:right w:w="62" w:type="dxa"/>
            </w:tcMar>
          </w:tcPr>
          <w:p w:rsidR="00000000" w:rsidP="00DF4E7E">
            <w:pPr>
              <w:pStyle w:val="List"/>
              <w:rPr>
                <w:lang w:val="en-NZ"/>
              </w:rPr>
            </w:pPr>
            <w:r w:rsidRPr="00DF4E7E">
              <w:t xml:space="preserve">3. Take and present clear, concise client notes. </w:t>
            </w:r>
          </w:p>
        </w:tc>
        <w:tc>
          <w:tcPr>
            <w:tcW w:w="6130" w:type="dxa"/>
            <w:tcBorders>
              <w:top w:val="nil"/>
              <w:left w:val="nil"/>
              <w:bottom w:val="nil"/>
              <w:right w:val="nil"/>
            </w:tcBorders>
            <w:tcMar>
              <w:top w:w="0" w:type="dxa"/>
              <w:left w:w="62" w:type="dxa"/>
              <w:bottom w:w="0" w:type="dxa"/>
              <w:right w:w="62" w:type="dxa"/>
            </w:tcMar>
          </w:tcPr>
          <w:p w:rsidR="00000000" w:rsidRPr="00DF4E7E" w:rsidP="00DF4E7E">
            <w:pPr>
              <w:pStyle w:val="List"/>
            </w:pPr>
            <w:r w:rsidRPr="00DF4E7E">
              <w:t xml:space="preserve">3.1. Maintain own comfort and safety throughout service provision to avoid repetition injuries associated with note taking. </w:t>
            </w:r>
          </w:p>
          <w:p w:rsidR="00000000" w:rsidRPr="00DF4E7E" w:rsidP="00DF4E7E">
            <w:pPr>
              <w:pStyle w:val="List"/>
            </w:pPr>
            <w:r w:rsidRPr="00DF4E7E">
              <w:t xml:space="preserve">3.2. Assess and adapt to note taking environment to ensure quality of notes taken. </w:t>
            </w:r>
          </w:p>
          <w:p w:rsidR="00000000" w:rsidRPr="00DF4E7E" w:rsidP="00DF4E7E">
            <w:pPr>
              <w:pStyle w:val="List"/>
            </w:pPr>
            <w:r w:rsidRPr="00DF4E7E">
              <w:t>3.3. Use methods and supporting technology to t</w:t>
            </w:r>
            <w:r w:rsidRPr="00DF4E7E">
              <w:t xml:space="preserve">ake and present quality notes which meet Deaf or Deafblind client needs. </w:t>
            </w:r>
          </w:p>
          <w:p w:rsidR="00000000" w:rsidRPr="00DF4E7E" w:rsidP="00DF4E7E">
            <w:pPr>
              <w:pStyle w:val="List"/>
            </w:pPr>
            <w:r w:rsidRPr="00DF4E7E">
              <w:t xml:space="preserve">3.4. Ensure notes provide a true record of the content, discussion and instructions expressed by speakers. </w:t>
            </w:r>
          </w:p>
          <w:p w:rsidR="00000000" w:rsidP="00DF4E7E">
            <w:pPr>
              <w:pStyle w:val="List"/>
              <w:rPr>
                <w:lang w:val="en-NZ"/>
              </w:rPr>
            </w:pPr>
            <w:r w:rsidRPr="00DF4E7E">
              <w:t>3.5. Present clear, coherent, accurate and legible notes in agreed format.</w:t>
            </w:r>
            <w:r w:rsidRPr="00DF4E7E">
              <w:t xml:space="preserve"> </w:t>
            </w:r>
          </w:p>
        </w:tc>
      </w:tr>
      <w:tr w:rsidTr="00F514B6">
        <w:tblPrEx>
          <w:tblW w:w="0" w:type="auto"/>
          <w:tblLayout w:type="fixed"/>
          <w:tblCellMar>
            <w:left w:w="62" w:type="dxa"/>
            <w:right w:w="62" w:type="dxa"/>
          </w:tblCellMar>
          <w:tblLook w:val="0000"/>
        </w:tblPrEx>
        <w:trPr>
          <w:trHeight w:val="1538"/>
        </w:trPr>
        <w:tc>
          <w:tcPr>
            <w:tcW w:w="2520" w:type="dxa"/>
            <w:tcBorders>
              <w:top w:val="nil"/>
              <w:left w:val="nil"/>
              <w:bottom w:val="nil"/>
              <w:right w:val="nil"/>
            </w:tcBorders>
            <w:tcMar>
              <w:top w:w="0" w:type="dxa"/>
              <w:left w:w="62" w:type="dxa"/>
              <w:bottom w:w="0" w:type="dxa"/>
              <w:right w:w="62" w:type="dxa"/>
            </w:tcMar>
          </w:tcPr>
          <w:p w:rsidR="00000000" w:rsidP="00DF4E7E">
            <w:pPr>
              <w:pStyle w:val="List"/>
              <w:rPr>
                <w:lang w:val="en-NZ"/>
              </w:rPr>
            </w:pPr>
            <w:r w:rsidRPr="00DF4E7E">
              <w:t>4. Evaluate notetaking services.</w:t>
            </w:r>
          </w:p>
        </w:tc>
        <w:tc>
          <w:tcPr>
            <w:tcW w:w="6130" w:type="dxa"/>
            <w:tcBorders>
              <w:top w:val="nil"/>
              <w:left w:val="nil"/>
              <w:bottom w:val="nil"/>
              <w:right w:val="nil"/>
            </w:tcBorders>
            <w:tcMar>
              <w:top w:w="0" w:type="dxa"/>
              <w:left w:w="62" w:type="dxa"/>
              <w:bottom w:w="0" w:type="dxa"/>
              <w:right w:w="62" w:type="dxa"/>
            </w:tcMar>
          </w:tcPr>
          <w:p w:rsidR="00000000" w:rsidRPr="00DF4E7E" w:rsidP="00DF4E7E">
            <w:pPr>
              <w:pStyle w:val="List"/>
            </w:pPr>
            <w:r w:rsidRPr="00DF4E7E">
              <w:t>4.1. Review service outcomes against client expectations and confirm client satisfaction with notes.</w:t>
            </w:r>
          </w:p>
          <w:p w:rsidR="00000000" w:rsidRPr="00DF4E7E" w:rsidP="00DF4E7E">
            <w:pPr>
              <w:pStyle w:val="List"/>
            </w:pPr>
            <w:r w:rsidRPr="00DF4E7E">
              <w:t>4.2. Clarify information and adjust notes, as required.</w:t>
            </w:r>
          </w:p>
          <w:p w:rsidR="00000000" w:rsidRPr="00DF4E7E" w:rsidP="00DF4E7E">
            <w:pPr>
              <w:pStyle w:val="List"/>
            </w:pPr>
            <w:r w:rsidRPr="00DF4E7E">
              <w:t>4.3. Review interaction with client and evaluate own performanc</w:t>
            </w:r>
            <w:r w:rsidRPr="00DF4E7E">
              <w:t>e.</w:t>
            </w:r>
          </w:p>
          <w:p w:rsidR="00000000" w:rsidRPr="00DF4E7E" w:rsidP="00DF4E7E">
            <w:pPr>
              <w:pStyle w:val="List"/>
            </w:pPr>
            <w:r w:rsidRPr="00DF4E7E">
              <w:t>4.4. Adapt communication and note taking methods to improve future service provision.</w:t>
            </w:r>
          </w:p>
        </w:tc>
      </w:tr>
    </w:tbl>
    <w:p w:rsidR="00F514B6" w:rsidP="00DF4E7E">
      <w:pPr>
        <w:pStyle w:val="BodyText"/>
      </w:pPr>
    </w:p>
    <w:p w:rsidR="00F514B6" w:rsidP="00DF4E7E">
      <w:pPr>
        <w:pStyle w:val="BodyText"/>
      </w:pPr>
    </w:p>
    <w:p w:rsidR="00000000" w:rsidRPr="00DF4E7E" w:rsidP="00DF4E7E">
      <w:pPr>
        <w:pStyle w:val="Heading1"/>
      </w:pPr>
      <w:bookmarkStart w:id="6" w:name="O_962908"/>
      <w:bookmarkEnd w:id="6"/>
      <w:r w:rsidRPr="00DF4E7E">
        <w:t>Foundation Skills</w:t>
      </w:r>
    </w:p>
    <w:tbl>
      <w:tblPr>
        <w:tblW w:w="0" w:type="auto"/>
        <w:tblLayout w:type="fixed"/>
        <w:tblCellMar>
          <w:left w:w="62" w:type="dxa"/>
          <w:right w:w="62" w:type="dxa"/>
        </w:tblCellMar>
        <w:tblLook w:val="0000"/>
      </w:tblPr>
      <w:tblGrid>
        <w:gridCol w:w="2340"/>
        <w:gridCol w:w="6343"/>
      </w:tblGrid>
      <w:tr w:rsidTr="00DF4E7E">
        <w:tblPrEx>
          <w:tblW w:w="0" w:type="auto"/>
          <w:tblLayout w:type="fixed"/>
          <w:tblCellMar>
            <w:left w:w="62" w:type="dxa"/>
            <w:right w:w="62" w:type="dxa"/>
          </w:tblCellMar>
          <w:tblLook w:val="0000"/>
        </w:tblPrEx>
        <w:trPr>
          <w:trHeight w:val="187"/>
        </w:trPr>
        <w:tc>
          <w:tcPr>
            <w:tcW w:w="8683" w:type="dxa"/>
            <w:gridSpan w:val="2"/>
            <w:tcBorders>
              <w:top w:val="nil"/>
              <w:left w:val="nil"/>
              <w:bottom w:val="nil"/>
              <w:right w:val="nil"/>
            </w:tcBorders>
            <w:tcMar>
              <w:top w:w="0" w:type="dxa"/>
              <w:left w:w="62" w:type="dxa"/>
              <w:bottom w:w="0" w:type="dxa"/>
              <w:right w:w="62" w:type="dxa"/>
            </w:tcMar>
          </w:tcPr>
          <w:p w:rsidR="00000000" w:rsidP="00DF4E7E">
            <w:pPr>
              <w:pStyle w:val="BodyText"/>
              <w:rPr>
                <w:lang w:val="en-NZ"/>
              </w:rPr>
            </w:pPr>
            <w:r w:rsidRPr="00DF4E7E">
              <w:rPr>
                <w:rStyle w:val="Emphasis"/>
              </w:rPr>
              <w:t>Foundation skills essential to performance in this unit, but not explicit in the performance criteria are</w:t>
            </w:r>
            <w:r w:rsidRPr="00DF4E7E">
              <w:t xml:space="preserve"> </w:t>
            </w:r>
            <w:r w:rsidRPr="00DF4E7E">
              <w:rPr>
                <w:rStyle w:val="Emphasis"/>
              </w:rPr>
              <w:t xml:space="preserve">listed here, along with a brief context statement. </w:t>
            </w:r>
          </w:p>
        </w:tc>
      </w:tr>
      <w:tr w:rsidTr="00DF4E7E">
        <w:tblPrEx>
          <w:tblW w:w="0" w:type="auto"/>
          <w:tblLayout w:type="fixed"/>
          <w:tblCellMar>
            <w:left w:w="62" w:type="dxa"/>
            <w:right w:w="62" w:type="dxa"/>
          </w:tblCellMar>
          <w:tblLook w:val="0000"/>
        </w:tblPrEx>
        <w:trPr>
          <w:trHeight w:val="112"/>
        </w:trPr>
        <w:tc>
          <w:tcPr>
            <w:tcW w:w="2340" w:type="dxa"/>
            <w:tcBorders>
              <w:top w:val="nil"/>
              <w:left w:val="nil"/>
              <w:bottom w:val="nil"/>
              <w:right w:val="nil"/>
            </w:tcBorders>
            <w:tcMar>
              <w:top w:w="0" w:type="dxa"/>
              <w:left w:w="62" w:type="dxa"/>
              <w:bottom w:w="0" w:type="dxa"/>
              <w:right w:w="62" w:type="dxa"/>
            </w:tcMar>
          </w:tcPr>
          <w:p w:rsidR="00000000" w:rsidRPr="00DF4E7E" w:rsidP="00DF4E7E">
            <w:pPr>
              <w:pStyle w:val="BodyText"/>
            </w:pPr>
            <w:r w:rsidRPr="00DF4E7E">
              <w:rPr>
                <w:rStyle w:val="SpecialBold"/>
              </w:rPr>
              <w:t xml:space="preserve">SKILLS </w:t>
            </w:r>
          </w:p>
        </w:tc>
        <w:tc>
          <w:tcPr>
            <w:tcW w:w="6343" w:type="dxa"/>
            <w:tcBorders>
              <w:top w:val="nil"/>
              <w:left w:val="nil"/>
              <w:bottom w:val="nil"/>
              <w:right w:val="nil"/>
            </w:tcBorders>
            <w:tcMar>
              <w:top w:w="0" w:type="dxa"/>
              <w:left w:w="62" w:type="dxa"/>
              <w:bottom w:w="0" w:type="dxa"/>
              <w:right w:w="62" w:type="dxa"/>
            </w:tcMar>
          </w:tcPr>
          <w:p w:rsidR="00000000" w:rsidP="00DF4E7E">
            <w:pPr>
              <w:pStyle w:val="BodyText"/>
              <w:rPr>
                <w:lang w:val="en-NZ"/>
              </w:rPr>
            </w:pPr>
            <w:r w:rsidRPr="00DF4E7E">
              <w:rPr>
                <w:rStyle w:val="SpecialBold"/>
              </w:rPr>
              <w:t xml:space="preserve">DESCRIPTION </w:t>
            </w:r>
          </w:p>
        </w:tc>
      </w:tr>
      <w:tr w:rsidTr="00DF4E7E">
        <w:tblPrEx>
          <w:tblW w:w="0" w:type="auto"/>
          <w:tblLayout w:type="fixed"/>
          <w:tblCellMar>
            <w:left w:w="62" w:type="dxa"/>
            <w:right w:w="62" w:type="dxa"/>
          </w:tblCellMar>
          <w:tblLook w:val="0000"/>
        </w:tblPrEx>
        <w:trPr>
          <w:trHeight w:val="281"/>
        </w:trPr>
        <w:tc>
          <w:tcPr>
            <w:tcW w:w="2340" w:type="dxa"/>
            <w:tcBorders>
              <w:top w:val="nil"/>
              <w:left w:val="nil"/>
              <w:bottom w:val="nil"/>
              <w:right w:val="nil"/>
            </w:tcBorders>
            <w:tcMar>
              <w:top w:w="0" w:type="dxa"/>
              <w:left w:w="62" w:type="dxa"/>
              <w:bottom w:w="0" w:type="dxa"/>
              <w:right w:w="62" w:type="dxa"/>
            </w:tcMar>
          </w:tcPr>
          <w:p w:rsidR="00000000" w:rsidP="00DF4E7E">
            <w:pPr>
              <w:pStyle w:val="BodyText"/>
              <w:rPr>
                <w:lang w:val="en-NZ"/>
              </w:rPr>
            </w:pPr>
            <w:r w:rsidRPr="00DF4E7E">
              <w:t xml:space="preserve">Reading skills to: </w:t>
            </w:r>
          </w:p>
        </w:tc>
        <w:tc>
          <w:tcPr>
            <w:tcW w:w="6343" w:type="dxa"/>
            <w:tcBorders>
              <w:top w:val="nil"/>
              <w:left w:val="nil"/>
              <w:bottom w:val="nil"/>
              <w:right w:val="nil"/>
            </w:tcBorders>
            <w:tcMar>
              <w:top w:w="0" w:type="dxa"/>
              <w:left w:w="62" w:type="dxa"/>
              <w:bottom w:w="0" w:type="dxa"/>
              <w:right w:w="62" w:type="dxa"/>
            </w:tcMar>
          </w:tcPr>
          <w:p w:rsidR="00000000" w:rsidP="00DF4E7E">
            <w:pPr>
              <w:pStyle w:val="ListBullet"/>
              <w:rPr>
                <w:lang w:val="en-NZ"/>
              </w:rPr>
            </w:pPr>
            <w:r w:rsidRPr="00DF4E7E">
              <w:t xml:space="preserve">interpret unfamiliar and detailed documents used by speakers which may include complex ideas and concepts. </w:t>
            </w:r>
          </w:p>
        </w:tc>
      </w:tr>
      <w:tr w:rsidTr="00DF4E7E">
        <w:tblPrEx>
          <w:tblW w:w="0" w:type="auto"/>
          <w:tblLayout w:type="fixed"/>
          <w:tblCellMar>
            <w:left w:w="62" w:type="dxa"/>
            <w:right w:w="62" w:type="dxa"/>
          </w:tblCellMar>
          <w:tblLook w:val="0000"/>
        </w:tblPrEx>
        <w:trPr>
          <w:trHeight w:val="281"/>
        </w:trPr>
        <w:tc>
          <w:tcPr>
            <w:tcW w:w="2340" w:type="dxa"/>
            <w:tcBorders>
              <w:top w:val="nil"/>
              <w:left w:val="nil"/>
              <w:bottom w:val="nil"/>
              <w:right w:val="nil"/>
            </w:tcBorders>
            <w:tcMar>
              <w:top w:w="0" w:type="dxa"/>
              <w:left w:w="62" w:type="dxa"/>
              <w:bottom w:w="0" w:type="dxa"/>
              <w:right w:w="62" w:type="dxa"/>
            </w:tcMar>
          </w:tcPr>
          <w:p w:rsidR="00000000" w:rsidP="00DF4E7E">
            <w:pPr>
              <w:pStyle w:val="BodyText"/>
              <w:rPr>
                <w:lang w:val="en-NZ"/>
              </w:rPr>
            </w:pPr>
            <w:r w:rsidRPr="00DF4E7E">
              <w:t xml:space="preserve">Numeracy skills to: </w:t>
            </w:r>
          </w:p>
        </w:tc>
        <w:tc>
          <w:tcPr>
            <w:tcW w:w="6343" w:type="dxa"/>
            <w:tcBorders>
              <w:top w:val="nil"/>
              <w:left w:val="nil"/>
              <w:bottom w:val="nil"/>
              <w:right w:val="nil"/>
            </w:tcBorders>
            <w:tcMar>
              <w:top w:w="0" w:type="dxa"/>
              <w:left w:w="62" w:type="dxa"/>
              <w:bottom w:w="0" w:type="dxa"/>
              <w:right w:w="62" w:type="dxa"/>
            </w:tcMar>
          </w:tcPr>
          <w:p w:rsidR="00000000" w:rsidP="00DF4E7E">
            <w:pPr>
              <w:pStyle w:val="ListBullet"/>
              <w:rPr>
                <w:lang w:val="en-NZ"/>
              </w:rPr>
            </w:pPr>
            <w:r w:rsidRPr="00DF4E7E">
              <w:t xml:space="preserve">interpret and record subject matter relating to numerical </w:t>
            </w:r>
            <w:r w:rsidRPr="00DF4E7E">
              <w:t xml:space="preserve">concepts. </w:t>
            </w:r>
          </w:p>
        </w:tc>
      </w:tr>
      <w:tr w:rsidTr="00DF4E7E">
        <w:tblPrEx>
          <w:tblW w:w="0" w:type="auto"/>
          <w:tblLayout w:type="fixed"/>
          <w:tblCellMar>
            <w:left w:w="62" w:type="dxa"/>
            <w:right w:w="62" w:type="dxa"/>
          </w:tblCellMar>
          <w:tblLook w:val="0000"/>
        </w:tblPrEx>
        <w:trPr>
          <w:trHeight w:val="281"/>
        </w:trPr>
        <w:tc>
          <w:tcPr>
            <w:tcW w:w="2340" w:type="dxa"/>
            <w:tcBorders>
              <w:top w:val="nil"/>
              <w:left w:val="nil"/>
              <w:bottom w:val="nil"/>
              <w:right w:val="nil"/>
            </w:tcBorders>
            <w:tcMar>
              <w:top w:w="0" w:type="dxa"/>
              <w:left w:w="62" w:type="dxa"/>
              <w:bottom w:w="0" w:type="dxa"/>
              <w:right w:w="62" w:type="dxa"/>
            </w:tcMar>
          </w:tcPr>
          <w:p w:rsidR="00000000" w:rsidP="00DF4E7E">
            <w:pPr>
              <w:pStyle w:val="BodyText"/>
              <w:rPr>
                <w:lang w:val="en-NZ"/>
              </w:rPr>
            </w:pPr>
            <w:r w:rsidRPr="00DF4E7E">
              <w:t xml:space="preserve">Self-management skills to: </w:t>
            </w:r>
          </w:p>
        </w:tc>
        <w:tc>
          <w:tcPr>
            <w:tcW w:w="6343" w:type="dxa"/>
            <w:tcBorders>
              <w:top w:val="nil"/>
              <w:left w:val="nil"/>
              <w:bottom w:val="nil"/>
              <w:right w:val="nil"/>
            </w:tcBorders>
            <w:tcMar>
              <w:top w:w="0" w:type="dxa"/>
              <w:left w:w="62" w:type="dxa"/>
              <w:bottom w:w="0" w:type="dxa"/>
              <w:right w:w="62" w:type="dxa"/>
            </w:tcMar>
          </w:tcPr>
          <w:p w:rsidR="00000000" w:rsidP="00DF4E7E">
            <w:pPr>
              <w:pStyle w:val="ListBullet"/>
              <w:rPr>
                <w:lang w:val="en-NZ"/>
              </w:rPr>
            </w:pPr>
            <w:r w:rsidRPr="00DF4E7E">
              <w:t xml:space="preserve">recognise and adapt to own literacy, numeracy and subject matter knowledge limitations. </w:t>
            </w:r>
          </w:p>
        </w:tc>
      </w:tr>
      <w:tr w:rsidTr="00DF4E7E">
        <w:tblPrEx>
          <w:tblW w:w="0" w:type="auto"/>
          <w:tblLayout w:type="fixed"/>
          <w:tblCellMar>
            <w:left w:w="62" w:type="dxa"/>
            <w:right w:w="62" w:type="dxa"/>
          </w:tblCellMar>
          <w:tblLook w:val="0000"/>
        </w:tblPrEx>
        <w:trPr>
          <w:trHeight w:val="280"/>
        </w:trPr>
        <w:tc>
          <w:tcPr>
            <w:tcW w:w="2340" w:type="dxa"/>
            <w:tcBorders>
              <w:top w:val="nil"/>
              <w:left w:val="nil"/>
              <w:bottom w:val="nil"/>
              <w:right w:val="nil"/>
            </w:tcBorders>
            <w:tcMar>
              <w:top w:w="0" w:type="dxa"/>
              <w:left w:w="62" w:type="dxa"/>
              <w:bottom w:w="0" w:type="dxa"/>
              <w:right w:w="62" w:type="dxa"/>
            </w:tcMar>
          </w:tcPr>
          <w:p w:rsidR="00000000" w:rsidP="00DF4E7E">
            <w:pPr>
              <w:pStyle w:val="BodyText"/>
              <w:rPr>
                <w:lang w:val="en-NZ"/>
              </w:rPr>
            </w:pPr>
            <w:r w:rsidRPr="00DF4E7E">
              <w:t xml:space="preserve">Problem-solving skills to: </w:t>
            </w:r>
          </w:p>
        </w:tc>
        <w:tc>
          <w:tcPr>
            <w:tcW w:w="6343" w:type="dxa"/>
            <w:tcBorders>
              <w:top w:val="nil"/>
              <w:left w:val="nil"/>
              <w:bottom w:val="nil"/>
              <w:right w:val="nil"/>
            </w:tcBorders>
            <w:tcMar>
              <w:top w:w="0" w:type="dxa"/>
              <w:left w:w="62" w:type="dxa"/>
              <w:bottom w:w="0" w:type="dxa"/>
              <w:right w:w="62" w:type="dxa"/>
            </w:tcMar>
          </w:tcPr>
          <w:p w:rsidR="00000000" w:rsidRPr="00DF4E7E" w:rsidP="00DF4E7E">
            <w:pPr>
              <w:pStyle w:val="ListBullet"/>
            </w:pPr>
            <w:r w:rsidRPr="00DF4E7E">
              <w:t>adapt note taking to client’</w:t>
            </w:r>
            <w:r w:rsidRPr="00DF4E7E">
              <w:t xml:space="preserve">s needs to facilitate understanding. </w:t>
            </w:r>
          </w:p>
        </w:tc>
      </w:tr>
    </w:tbl>
    <w:p w:rsidR="00F514B6" w:rsidP="00DF4E7E">
      <w:pPr>
        <w:pStyle w:val="BodyText"/>
      </w:pPr>
    </w:p>
    <w:p w:rsidR="00F514B6" w:rsidP="00DF4E7E">
      <w:pPr>
        <w:pStyle w:val="BodyText"/>
      </w:pPr>
    </w:p>
    <w:p w:rsidR="00000000" w:rsidRPr="00DF4E7E" w:rsidP="00DF4E7E">
      <w:pPr>
        <w:pStyle w:val="Heading1"/>
      </w:pPr>
      <w:bookmarkStart w:id="7" w:name="O_962910"/>
      <w:bookmarkEnd w:id="7"/>
      <w:r w:rsidRPr="00DF4E7E">
        <w:t>Unit Mapping Information</w:t>
      </w:r>
    </w:p>
    <w:p w:rsidR="00000000" w:rsidRPr="00DF4E7E" w:rsidP="00F514B6">
      <w:pPr>
        <w:pStyle w:val="BodyText"/>
      </w:pPr>
      <w:r w:rsidRPr="00DF4E7E">
        <w:t>No equivalent unit</w:t>
      </w:r>
    </w:p>
    <w:p w:rsidR="00000000" w:rsidRPr="00DF4E7E" w:rsidP="00DF4E7E">
      <w:pPr>
        <w:pStyle w:val="Heading1"/>
      </w:pPr>
      <w:bookmarkStart w:id="8" w:name="O_962917"/>
      <w:bookmarkEnd w:id="8"/>
      <w:r w:rsidRPr="00DF4E7E">
        <w:t>Links</w:t>
      </w:r>
    </w:p>
    <w:p w:rsidR="00000000" w:rsidRPr="00DF4E7E" w:rsidP="00F514B6">
      <w:pPr>
        <w:pStyle w:val="BodyText"/>
      </w:pPr>
      <w:r w:rsidRPr="00DF4E7E">
        <w:t xml:space="preserve">Companion Volume Implementation Guide - </w:t>
      </w:r>
      <w:r>
        <w:fldChar w:fldCharType="begin"/>
      </w:r>
      <w:r>
        <w:instrText xml:space="preserve"> HYPERLINK "https://vetnet.gov.au/Pages/TrainingDocs.aspx?q=bebbece7-ff48-4d2c-8876-405679019623" </w:instrText>
      </w:r>
      <w:r>
        <w:fldChar w:fldCharType="separate"/>
      </w:r>
      <w:r w:rsidRPr="00CC43D4">
        <w:rPr>
          <w:rStyle w:val="Hyperlink"/>
        </w:rPr>
        <w:t>https://vetnet.gov.au/Pages/TrainingDocs.aspx?q=bebbece7-ff48-4d2c-8876-405679019623</w:t>
      </w:r>
      <w:r>
        <w:fldChar w:fldCharType="end"/>
      </w:r>
    </w:p>
    <w:p w:rsidR="00000000" w:rsidRPr="00DF4E7E" w:rsidP="00F514B6">
      <w:pPr>
        <w:pStyle w:val="BodyText"/>
        <w:sectPr w:rsidSect="00DF4E7E">
          <w:headerReference w:type="default" r:id="rId10"/>
          <w:footerReference w:type="default" r:id="rId11"/>
          <w:pgSz w:w="11908" w:h="16833"/>
          <w:pgMar w:top="1702" w:right="1418" w:bottom="1702" w:left="1418" w:header="992" w:footer="992" w:gutter="0"/>
          <w:cols w:space="720"/>
          <w:noEndnote/>
          <w:docGrid w:linePitch="299"/>
        </w:sectPr>
      </w:pPr>
    </w:p>
    <w:p w:rsidR="00000000" w:rsidRPr="00DF4E7E" w:rsidP="00DF4E7E">
      <w:pPr>
        <w:pStyle w:val="SuperHeading"/>
      </w:pPr>
      <w:r w:rsidRPr="00DF4E7E">
        <w:t>Assessment Requirements for PSPLAN011 Take notes for Deaf, hard of hearing and Deafblind people</w:t>
      </w:r>
    </w:p>
    <w:p w:rsidR="00000000" w:rsidRPr="00DF4E7E" w:rsidP="00DF4E7E">
      <w:pPr>
        <w:pStyle w:val="Heading1"/>
      </w:pPr>
      <w:bookmarkStart w:id="9" w:name="O_962912"/>
      <w:bookmarkEnd w:id="9"/>
      <w:r w:rsidRPr="00DF4E7E">
        <w:t>Modification History</w:t>
      </w:r>
    </w:p>
    <w:p w:rsidR="00000000" w:rsidRPr="00DF4E7E" w:rsidP="00F514B6">
      <w:pPr>
        <w:pStyle w:val="BodyText"/>
      </w:pPr>
      <w:r w:rsidRPr="00DF4E7E">
        <w:t>Not applicable.</w:t>
      </w:r>
    </w:p>
    <w:p w:rsidR="00000000" w:rsidRPr="00DF4E7E" w:rsidP="00DF4E7E">
      <w:pPr>
        <w:pStyle w:val="Heading1"/>
      </w:pPr>
      <w:bookmarkStart w:id="10" w:name="O_962913"/>
      <w:bookmarkEnd w:id="10"/>
      <w:r w:rsidRPr="00DF4E7E">
        <w:t>Performance Evidence</w:t>
      </w:r>
    </w:p>
    <w:p w:rsidR="00000000" w:rsidRPr="00DF4E7E" w:rsidP="00F514B6">
      <w:pPr>
        <w:pStyle w:val="BodyText"/>
      </w:pPr>
      <w:r w:rsidRPr="00DF4E7E">
        <w:t>Evidence of the ability to complete tasks outlined in elements and performance criteria of this unit in the context of the job role, and:</w:t>
      </w:r>
    </w:p>
    <w:p w:rsidR="00000000" w:rsidRPr="00DF4E7E" w:rsidP="00DF4E7E">
      <w:pPr>
        <w:pStyle w:val="ListBullet"/>
      </w:pPr>
      <w:r w:rsidRPr="00DF4E7E">
        <w:t>communicate effectively with Deaf and Deafblind clients according to Deaf community protocols</w:t>
      </w:r>
    </w:p>
    <w:p w:rsidR="00000000" w:rsidRPr="00DF4E7E" w:rsidP="00DF4E7E">
      <w:pPr>
        <w:pStyle w:val="ListBullet"/>
      </w:pPr>
      <w:r w:rsidRPr="00DF4E7E">
        <w:t>take notes for three di</w:t>
      </w:r>
      <w:r w:rsidRPr="00DF4E7E">
        <w:t>fferent clients on three different subject matters</w:t>
      </w:r>
    </w:p>
    <w:p w:rsidR="00000000" w:rsidRPr="00DF4E7E" w:rsidP="00DF4E7E">
      <w:pPr>
        <w:pStyle w:val="ListBullet"/>
      </w:pPr>
      <w:r w:rsidRPr="00DF4E7E">
        <w:t>take notes in three different environments</w:t>
      </w:r>
    </w:p>
    <w:p w:rsidR="00000000" w:rsidRPr="00DF4E7E" w:rsidP="00DF4E7E">
      <w:pPr>
        <w:pStyle w:val="ListBullet"/>
      </w:pPr>
      <w:r w:rsidRPr="00DF4E7E">
        <w:t>present clear, concise, accurate notes to the three clients in a format that specifically meets the needs of Deaf or Deafblind clients.</w:t>
      </w:r>
    </w:p>
    <w:p w:rsidR="00000000" w:rsidRPr="00DF4E7E" w:rsidP="00DF4E7E">
      <w:pPr>
        <w:pStyle w:val="AllowPageBreak"/>
      </w:pPr>
    </w:p>
    <w:p w:rsidR="00000000" w:rsidRPr="00DF4E7E" w:rsidP="00DF4E7E">
      <w:pPr>
        <w:pStyle w:val="Heading1"/>
      </w:pPr>
      <w:bookmarkStart w:id="11" w:name="O_962914"/>
      <w:bookmarkEnd w:id="11"/>
      <w:r w:rsidRPr="00DF4E7E">
        <w:t>Knowledge Evidence</w:t>
      </w:r>
    </w:p>
    <w:p w:rsidR="00000000" w:rsidRPr="00DF4E7E" w:rsidP="00F514B6">
      <w:pPr>
        <w:pStyle w:val="BodyText"/>
      </w:pPr>
      <w:r w:rsidRPr="00DF4E7E">
        <w:t>Demonstrated knowledge required to complete the tasks outlined in elements and performance criteria of this unit:</w:t>
      </w:r>
    </w:p>
    <w:p w:rsidR="00000000" w:rsidRPr="00DF4E7E" w:rsidP="00DF4E7E">
      <w:pPr>
        <w:pStyle w:val="ListBullet"/>
      </w:pPr>
      <w:r w:rsidRPr="00DF4E7E">
        <w:t>terms and labels related to Deafness, Deafblindness and their general meaning and customary use in the Deaf community:</w:t>
      </w:r>
    </w:p>
    <w:p w:rsidR="00000000" w:rsidRPr="00DF4E7E" w:rsidP="00DF4E7E">
      <w:pPr>
        <w:pStyle w:val="ListBullet2"/>
      </w:pPr>
      <w:r w:rsidRPr="00DF4E7E">
        <w:t>De</w:t>
      </w:r>
      <w:r w:rsidRPr="00DF4E7E">
        <w:t>af or deaf</w:t>
      </w:r>
    </w:p>
    <w:p w:rsidR="00000000" w:rsidRPr="00DF4E7E" w:rsidP="00DF4E7E">
      <w:pPr>
        <w:pStyle w:val="ListBullet2"/>
      </w:pPr>
      <w:r w:rsidRPr="00DF4E7E">
        <w:t>Deafblind or deafblindness</w:t>
      </w:r>
    </w:p>
    <w:p w:rsidR="00000000" w:rsidRPr="00DF4E7E" w:rsidP="00DF4E7E">
      <w:pPr>
        <w:pStyle w:val="ListBullet2"/>
      </w:pPr>
      <w:r w:rsidRPr="00DF4E7E">
        <w:t>hearing-impaired</w:t>
      </w:r>
    </w:p>
    <w:p w:rsidR="00000000" w:rsidRPr="00DF4E7E" w:rsidP="00DF4E7E">
      <w:pPr>
        <w:pStyle w:val="ListBullet2"/>
      </w:pPr>
      <w:r w:rsidRPr="00DF4E7E">
        <w:t>hard-of-hearing</w:t>
      </w:r>
    </w:p>
    <w:p w:rsidR="00000000" w:rsidRPr="00DF4E7E" w:rsidP="00DF4E7E">
      <w:pPr>
        <w:pStyle w:val="ListBullet2"/>
      </w:pPr>
      <w:r w:rsidRPr="00DF4E7E">
        <w:t>hearing</w:t>
      </w:r>
    </w:p>
    <w:p w:rsidR="00000000" w:rsidRPr="00DF4E7E" w:rsidP="00DF4E7E">
      <w:pPr>
        <w:pStyle w:val="ListBullet2"/>
      </w:pPr>
      <w:r w:rsidRPr="00DF4E7E">
        <w:t>visual impairment</w:t>
      </w:r>
    </w:p>
    <w:p w:rsidR="00000000" w:rsidRPr="00DF4E7E" w:rsidP="00DF4E7E">
      <w:pPr>
        <w:pStyle w:val="ListBullet"/>
      </w:pPr>
      <w:r w:rsidRPr="00DF4E7E">
        <w:t>different communication needs of Deaf and Deafblind people according to different degree of hearing and sight loss</w:t>
      </w:r>
    </w:p>
    <w:p w:rsidR="00000000" w:rsidRPr="00DF4E7E" w:rsidP="00DF4E7E">
      <w:pPr>
        <w:pStyle w:val="ListBullet"/>
      </w:pPr>
      <w:r w:rsidRPr="00DF4E7E">
        <w:t>effective and culturally acceptable methods</w:t>
      </w:r>
      <w:r w:rsidRPr="00DF4E7E">
        <w:t xml:space="preserve"> used by hearing people to communicate with Deaf and Deafblind people</w:t>
      </w:r>
    </w:p>
    <w:p w:rsidR="00000000" w:rsidRPr="00DF4E7E" w:rsidP="00DF4E7E">
      <w:pPr>
        <w:pStyle w:val="ListBullet"/>
      </w:pPr>
      <w:r w:rsidRPr="00DF4E7E">
        <w:t>ethical considerations for note takers:</w:t>
      </w:r>
    </w:p>
    <w:p w:rsidR="00000000" w:rsidRPr="00DF4E7E" w:rsidP="00DF4E7E">
      <w:pPr>
        <w:pStyle w:val="ListBullet2"/>
      </w:pPr>
      <w:r w:rsidRPr="00DF4E7E">
        <w:t>use of discriminatory actions and words versus inclusive terms</w:t>
      </w:r>
    </w:p>
    <w:p w:rsidR="00000000" w:rsidRPr="00DF4E7E" w:rsidP="00DF4E7E">
      <w:pPr>
        <w:pStyle w:val="ListBullet2"/>
      </w:pPr>
      <w:r w:rsidRPr="00DF4E7E">
        <w:t>principles of access and equity, empowerment and disempowerment for Deaf, hard of hearing or Deafblind people</w:t>
      </w:r>
    </w:p>
    <w:p w:rsidR="00000000" w:rsidRPr="00DF4E7E" w:rsidP="00DF4E7E">
      <w:pPr>
        <w:pStyle w:val="ListBullet"/>
      </w:pPr>
      <w:r w:rsidRPr="00DF4E7E">
        <w:t>principles and practices of professional conduct for note takers, to include:</w:t>
      </w:r>
    </w:p>
    <w:p w:rsidR="00000000" w:rsidRPr="00DF4E7E" w:rsidP="00DF4E7E">
      <w:pPr>
        <w:pStyle w:val="ListBullet2"/>
      </w:pPr>
      <w:r w:rsidRPr="00DF4E7E">
        <w:t>confidentiality</w:t>
      </w:r>
    </w:p>
    <w:p w:rsidR="00000000" w:rsidRPr="00DF4E7E" w:rsidP="00DF4E7E">
      <w:pPr>
        <w:pStyle w:val="ListBullet2"/>
      </w:pPr>
      <w:r w:rsidRPr="00DF4E7E">
        <w:t>impartiality</w:t>
      </w:r>
    </w:p>
    <w:p w:rsidR="00000000" w:rsidRPr="00DF4E7E" w:rsidP="00DF4E7E">
      <w:pPr>
        <w:pStyle w:val="ListBullet2"/>
      </w:pPr>
      <w:r w:rsidRPr="00DF4E7E">
        <w:t>unobtrusiveness</w:t>
      </w:r>
    </w:p>
    <w:p w:rsidR="00000000" w:rsidRPr="00DF4E7E" w:rsidP="00DF4E7E">
      <w:pPr>
        <w:pStyle w:val="ListBullet2"/>
      </w:pPr>
      <w:r w:rsidRPr="00DF4E7E">
        <w:t>appropriate attire</w:t>
      </w:r>
    </w:p>
    <w:p w:rsidR="00000000" w:rsidRPr="00DF4E7E" w:rsidP="00DF4E7E">
      <w:pPr>
        <w:pStyle w:val="ListBullet2"/>
      </w:pPr>
      <w:r w:rsidRPr="00DF4E7E">
        <w:t>ti</w:t>
      </w:r>
      <w:r w:rsidRPr="00DF4E7E">
        <w:t>meliness</w:t>
      </w:r>
    </w:p>
    <w:p w:rsidR="00000000" w:rsidRPr="00DF4E7E" w:rsidP="00DF4E7E">
      <w:pPr>
        <w:pStyle w:val="ListBullet"/>
      </w:pPr>
      <w:r w:rsidRPr="00DF4E7E">
        <w:t>basic provisions of the local state or territory Privacy Act, associated regulations, codes and guidelines that apply to maintaining client records and confidentiality of information collected via the note taking process</w:t>
      </w:r>
    </w:p>
    <w:p w:rsidR="00000000" w:rsidRPr="00DF4E7E" w:rsidP="00DF4E7E">
      <w:pPr>
        <w:pStyle w:val="ListBullet"/>
      </w:pPr>
      <w:r w:rsidRPr="00DF4E7E">
        <w:t>parameters of the role of</w:t>
      </w:r>
      <w:r w:rsidRPr="00DF4E7E">
        <w:t xml:space="preserve"> note takers, to include:</w:t>
      </w:r>
    </w:p>
    <w:p w:rsidR="00000000" w:rsidRPr="00DF4E7E" w:rsidP="00DF4E7E">
      <w:pPr>
        <w:pStyle w:val="ListBullet2"/>
      </w:pPr>
      <w:r w:rsidRPr="00DF4E7E">
        <w:t>negotiating client service needs according to different degree of hearing and sight ability</w:t>
      </w:r>
    </w:p>
    <w:p w:rsidR="00000000" w:rsidRPr="00DF4E7E" w:rsidP="00DF4E7E">
      <w:pPr>
        <w:pStyle w:val="ListBullet2"/>
      </w:pPr>
      <w:r w:rsidRPr="00DF4E7E">
        <w:t>discussing and arranging note taking services, seating and technology requirements with other service providers</w:t>
      </w:r>
    </w:p>
    <w:p w:rsidR="00000000" w:rsidRPr="00DF4E7E" w:rsidP="00DF4E7E">
      <w:pPr>
        <w:pStyle w:val="ListBullet2"/>
      </w:pPr>
      <w:r w:rsidRPr="00DF4E7E">
        <w:t>providing assistance with</w:t>
      </w:r>
      <w:r w:rsidRPr="00DF4E7E">
        <w:t xml:space="preserve"> mobility needs of Deafblind people</w:t>
      </w:r>
    </w:p>
    <w:p w:rsidR="00000000" w:rsidRPr="00DF4E7E" w:rsidP="00DF4E7E">
      <w:pPr>
        <w:pStyle w:val="ListBullet2"/>
      </w:pPr>
      <w:r w:rsidRPr="00DF4E7E">
        <w:t>recording and presenting notes which do not express personal opinion or comments</w:t>
      </w:r>
    </w:p>
    <w:p w:rsidR="00000000" w:rsidRPr="00DF4E7E" w:rsidP="00DF4E7E">
      <w:pPr>
        <w:pStyle w:val="ListBullet"/>
      </w:pPr>
      <w:r w:rsidRPr="00DF4E7E">
        <w:t>environmental factors that can assist or detract from quality of notes taken and how to adapt to these:</w:t>
      </w:r>
    </w:p>
    <w:p w:rsidR="00000000" w:rsidRPr="00DF4E7E" w:rsidP="00DF4E7E">
      <w:pPr>
        <w:pStyle w:val="ListBullet2"/>
      </w:pPr>
      <w:r w:rsidRPr="00DF4E7E">
        <w:t>room size, layout and seating configuration</w:t>
      </w:r>
    </w:p>
    <w:p w:rsidR="00000000" w:rsidRPr="00DF4E7E" w:rsidP="00DF4E7E">
      <w:pPr>
        <w:pStyle w:val="ListBullet2"/>
      </w:pPr>
      <w:r w:rsidRPr="00DF4E7E">
        <w:t>light</w:t>
      </w:r>
    </w:p>
    <w:p w:rsidR="00000000" w:rsidRPr="00DF4E7E" w:rsidP="00DF4E7E">
      <w:pPr>
        <w:pStyle w:val="ListBullet2"/>
      </w:pPr>
      <w:r w:rsidRPr="00DF4E7E">
        <w:t>noise</w:t>
      </w:r>
    </w:p>
    <w:p w:rsidR="00000000" w:rsidRPr="00DF4E7E" w:rsidP="00DF4E7E">
      <w:pPr>
        <w:pStyle w:val="ListBullet2"/>
      </w:pPr>
      <w:r w:rsidRPr="00DF4E7E">
        <w:t>distractions from other people present</w:t>
      </w:r>
    </w:p>
    <w:p w:rsidR="00000000" w:rsidRPr="00DF4E7E" w:rsidP="00DF4E7E">
      <w:pPr>
        <w:pStyle w:val="ListBullet"/>
      </w:pPr>
      <w:r w:rsidRPr="00DF4E7E">
        <w:t>features and operation of resources used for note taking and presentation of notes:</w:t>
      </w:r>
    </w:p>
    <w:p w:rsidR="00000000" w:rsidRPr="00DF4E7E" w:rsidP="00DF4E7E">
      <w:pPr>
        <w:pStyle w:val="ListBullet2"/>
      </w:pPr>
      <w:r w:rsidRPr="00DF4E7E">
        <w:t>voice recorders</w:t>
      </w:r>
    </w:p>
    <w:p w:rsidR="00000000" w:rsidRPr="00DF4E7E" w:rsidP="00DF4E7E">
      <w:pPr>
        <w:pStyle w:val="ListBullet2"/>
      </w:pPr>
      <w:r w:rsidRPr="00DF4E7E">
        <w:t>cameras</w:t>
      </w:r>
    </w:p>
    <w:p w:rsidR="00000000" w:rsidRPr="00DF4E7E" w:rsidP="00DF4E7E">
      <w:pPr>
        <w:pStyle w:val="ListBullet2"/>
      </w:pPr>
      <w:r w:rsidRPr="00DF4E7E">
        <w:t>laptop computers and tablets</w:t>
      </w:r>
    </w:p>
    <w:p w:rsidR="00000000" w:rsidRPr="00DF4E7E" w:rsidP="00DF4E7E">
      <w:pPr>
        <w:pStyle w:val="ListBullet"/>
      </w:pPr>
      <w:r w:rsidRPr="00DF4E7E">
        <w:t xml:space="preserve">methods used to take </w:t>
      </w:r>
      <w:r w:rsidRPr="00DF4E7E">
        <w:t>and present accurate and quality notes and why these are important:</w:t>
      </w:r>
    </w:p>
    <w:p w:rsidR="00000000" w:rsidRPr="00DF4E7E" w:rsidP="00DF4E7E">
      <w:pPr>
        <w:pStyle w:val="ListBullet2"/>
      </w:pPr>
      <w:r w:rsidRPr="00DF4E7E">
        <w:t>active listening</w:t>
      </w:r>
    </w:p>
    <w:p w:rsidR="00000000" w:rsidRPr="00DF4E7E" w:rsidP="00DF4E7E">
      <w:pPr>
        <w:pStyle w:val="ListBullet2"/>
      </w:pPr>
      <w:r w:rsidRPr="00DF4E7E">
        <w:t>keeping pace with speakers</w:t>
      </w:r>
    </w:p>
    <w:p w:rsidR="00000000" w:rsidRPr="00DF4E7E" w:rsidP="00DF4E7E">
      <w:pPr>
        <w:pStyle w:val="ListBullet2"/>
      </w:pPr>
      <w:r w:rsidRPr="00DF4E7E">
        <w:t>heeding verbal and non-verbal cues</w:t>
      </w:r>
    </w:p>
    <w:p w:rsidR="00000000" w:rsidRPr="00DF4E7E" w:rsidP="00DF4E7E">
      <w:pPr>
        <w:pStyle w:val="ListBullet2"/>
      </w:pPr>
      <w:r w:rsidRPr="00DF4E7E">
        <w:t>use of white space - margins, borders, spare lines</w:t>
      </w:r>
    </w:p>
    <w:p w:rsidR="00000000" w:rsidRPr="00DF4E7E" w:rsidP="00DF4E7E">
      <w:pPr>
        <w:pStyle w:val="ListBullet2"/>
      </w:pPr>
      <w:r w:rsidRPr="00DF4E7E">
        <w:t>use of space to separate points visually and to indicate missed information</w:t>
      </w:r>
    </w:p>
    <w:p w:rsidR="00000000" w:rsidRPr="00DF4E7E" w:rsidP="00DF4E7E">
      <w:pPr>
        <w:pStyle w:val="ListBullet2"/>
      </w:pPr>
      <w:r w:rsidRPr="00DF4E7E">
        <w:t>structuring notes with headings, key points, examples, references, definitions</w:t>
      </w:r>
    </w:p>
    <w:p w:rsidR="00000000" w:rsidRPr="00DF4E7E" w:rsidP="00DF4E7E">
      <w:pPr>
        <w:pStyle w:val="ListBullet2"/>
      </w:pPr>
      <w:r w:rsidRPr="00DF4E7E">
        <w:t>paraphrasing information and recording examples discussed</w:t>
      </w:r>
    </w:p>
    <w:p w:rsidR="00000000" w:rsidRPr="00DF4E7E" w:rsidP="00DF4E7E">
      <w:pPr>
        <w:pStyle w:val="ListBullet2"/>
      </w:pPr>
      <w:r w:rsidRPr="00DF4E7E">
        <w:t>recording key words and using emphasis to h</w:t>
      </w:r>
      <w:r w:rsidRPr="00DF4E7E">
        <w:t>ighlight important information</w:t>
      </w:r>
    </w:p>
    <w:p w:rsidR="00000000" w:rsidRPr="00DF4E7E" w:rsidP="00DF4E7E">
      <w:pPr>
        <w:pStyle w:val="ListBullet2"/>
      </w:pPr>
      <w:r w:rsidRPr="00DF4E7E">
        <w:t>recording questions and answers</w:t>
      </w:r>
    </w:p>
    <w:p w:rsidR="00000000" w:rsidRPr="00DF4E7E" w:rsidP="00DF4E7E">
      <w:pPr>
        <w:pStyle w:val="ListBullet2"/>
      </w:pPr>
      <w:r w:rsidRPr="00DF4E7E">
        <w:t>using accurate spelling, abbreviations and acronyms for subject specific terminology</w:t>
      </w:r>
    </w:p>
    <w:p w:rsidR="00000000" w:rsidRPr="00DF4E7E" w:rsidP="00DF4E7E">
      <w:pPr>
        <w:pStyle w:val="ListBullet2"/>
      </w:pPr>
      <w:r w:rsidRPr="00DF4E7E">
        <w:t>avoiding ambiguity and making judgements on what is and isn’t important to ensure all content is clearly rec</w:t>
      </w:r>
      <w:r w:rsidRPr="00DF4E7E">
        <w:t>orded</w:t>
      </w:r>
    </w:p>
    <w:p w:rsidR="00000000" w:rsidRPr="00DF4E7E" w:rsidP="00DF4E7E">
      <w:pPr>
        <w:pStyle w:val="ListBullet2"/>
      </w:pPr>
      <w:r w:rsidRPr="00DF4E7E">
        <w:t>noting what is heard and what is seen</w:t>
      </w:r>
    </w:p>
    <w:p w:rsidR="00000000" w:rsidRPr="00DF4E7E" w:rsidP="00DF4E7E">
      <w:pPr>
        <w:pStyle w:val="ListBullet2"/>
      </w:pPr>
      <w:r w:rsidRPr="00DF4E7E">
        <w:t>collecting supporting information from speakers; this can include instructions, handouts, copies of audio visual presentations</w:t>
      </w:r>
    </w:p>
    <w:p w:rsidR="00000000" w:rsidRPr="00DF4E7E" w:rsidP="00DF4E7E">
      <w:pPr>
        <w:pStyle w:val="ListBullet2"/>
      </w:pPr>
      <w:r w:rsidRPr="00DF4E7E">
        <w:t>presenting notes which are clear, coherent, accurate and legible.</w:t>
      </w:r>
    </w:p>
    <w:p w:rsidR="00000000" w:rsidRPr="00DF4E7E" w:rsidP="00DF4E7E">
      <w:pPr>
        <w:pStyle w:val="ListBullet"/>
      </w:pPr>
      <w:r w:rsidRPr="00DF4E7E">
        <w:t>methods of recordi</w:t>
      </w:r>
      <w:r w:rsidRPr="00DF4E7E">
        <w:t>ng and formatting notes to meet the specific needs of Deaf and Deafblind clients whose primary language is Auslan:</w:t>
      </w:r>
    </w:p>
    <w:p w:rsidR="00000000" w:rsidRPr="00DF4E7E" w:rsidP="00DF4E7E">
      <w:pPr>
        <w:pStyle w:val="ListBullet2"/>
      </w:pPr>
      <w:r w:rsidRPr="00DF4E7E">
        <w:t>using visual symbols and diagrams to assist client</w:t>
      </w:r>
      <w:r>
        <w:t>’</w:t>
      </w:r>
      <w:r w:rsidRPr="00DF4E7E">
        <w:t>s understanding of English notes</w:t>
      </w:r>
    </w:p>
    <w:p w:rsidR="00000000" w:rsidRPr="00DF4E7E" w:rsidP="00DF4E7E">
      <w:pPr>
        <w:pStyle w:val="ListBullet2"/>
      </w:pPr>
      <w:r w:rsidRPr="00DF4E7E">
        <w:t>structuring notes by mainly using diagrams to replace English words and sentences</w:t>
      </w:r>
    </w:p>
    <w:p w:rsidR="00000000" w:rsidRPr="00DF4E7E" w:rsidP="00DF4E7E">
      <w:pPr>
        <w:pStyle w:val="ListBullet2"/>
      </w:pPr>
      <w:r w:rsidRPr="00DF4E7E">
        <w:t>targeting English expression for those who use English as a second language - using short sentences, Plain English and dot points</w:t>
      </w:r>
    </w:p>
    <w:p w:rsidR="00000000" w:rsidRPr="00DF4E7E" w:rsidP="00DF4E7E">
      <w:pPr>
        <w:pStyle w:val="ListBullet2"/>
      </w:pPr>
      <w:r w:rsidRPr="00DF4E7E">
        <w:t>using tables</w:t>
      </w:r>
    </w:p>
    <w:p w:rsidR="00000000" w:rsidRPr="00DF4E7E" w:rsidP="00DF4E7E">
      <w:pPr>
        <w:pStyle w:val="ListBullet2"/>
      </w:pPr>
      <w:r w:rsidRPr="00DF4E7E">
        <w:t>using big font for Deafblind cl</w:t>
      </w:r>
      <w:r w:rsidRPr="00DF4E7E">
        <w:t>ients</w:t>
      </w:r>
    </w:p>
    <w:p w:rsidR="00000000" w:rsidRPr="00DF4E7E" w:rsidP="00DF4E7E">
      <w:pPr>
        <w:pStyle w:val="ListBullet"/>
      </w:pPr>
      <w:r w:rsidRPr="00DF4E7E">
        <w:t>health and safety risks specific to the note taking role and methods used to manage these:</w:t>
      </w:r>
    </w:p>
    <w:p w:rsidR="00000000" w:rsidRPr="00DF4E7E" w:rsidP="00DF4E7E">
      <w:pPr>
        <w:pStyle w:val="ListBullet2"/>
      </w:pPr>
      <w:r w:rsidRPr="00DF4E7E">
        <w:t>ensuring posture, seating, working height and layout does not cause injury</w:t>
      </w:r>
    </w:p>
    <w:p w:rsidR="00000000" w:rsidRPr="00DF4E7E" w:rsidP="00DF4E7E">
      <w:pPr>
        <w:pStyle w:val="ListBullet2"/>
      </w:pPr>
      <w:r w:rsidRPr="00DF4E7E">
        <w:t>using breaks and pause exercises to avoid repetitive strain injuries.</w:t>
      </w:r>
    </w:p>
    <w:p w:rsidR="00000000" w:rsidRPr="00DF4E7E" w:rsidP="00DF4E7E">
      <w:pPr>
        <w:pStyle w:val="AllowPageBreak"/>
      </w:pPr>
    </w:p>
    <w:p w:rsidR="00000000" w:rsidRPr="00DF4E7E" w:rsidP="00DF4E7E">
      <w:pPr>
        <w:pStyle w:val="Heading1"/>
      </w:pPr>
      <w:bookmarkStart w:id="12" w:name="O_962915"/>
      <w:bookmarkEnd w:id="12"/>
      <w:r w:rsidRPr="00DF4E7E">
        <w:t>Assessment Conditions</w:t>
      </w:r>
    </w:p>
    <w:p w:rsidR="00000000" w:rsidRPr="00DF4E7E" w:rsidP="00F514B6">
      <w:pPr>
        <w:pStyle w:val="BodyText"/>
      </w:pPr>
      <w:r w:rsidRPr="00DF4E7E">
        <w:t>Skills must be demonstrated in a note taking client service environment. This can be:</w:t>
      </w:r>
    </w:p>
    <w:p w:rsidR="00000000" w:rsidRPr="00DF4E7E" w:rsidP="00DF4E7E">
      <w:pPr>
        <w:pStyle w:val="ListBullet"/>
      </w:pPr>
      <w:r w:rsidRPr="00DF4E7E">
        <w:t>a note taker’s place of service delivery, or</w:t>
      </w:r>
    </w:p>
    <w:p w:rsidR="00000000" w:rsidRPr="00DF4E7E" w:rsidP="00DF4E7E">
      <w:pPr>
        <w:pStyle w:val="ListBullet"/>
      </w:pPr>
      <w:r w:rsidRPr="00DF4E7E">
        <w:t>a simulated workplace within a training organisation.</w:t>
      </w:r>
    </w:p>
    <w:p w:rsidR="00000000" w:rsidRPr="00DF4E7E" w:rsidP="00F514B6">
      <w:pPr>
        <w:pStyle w:val="BodyText"/>
      </w:pPr>
      <w:r w:rsidRPr="00DF4E7E">
        <w:t>Rooms used for assessment must be sufficiently quiet and have appropriate lighting and seating configuration to allow optimum visual and aural access for the note taker.</w:t>
      </w:r>
    </w:p>
    <w:p w:rsidR="00000000" w:rsidRPr="00DF4E7E" w:rsidP="00F514B6">
      <w:pPr>
        <w:pStyle w:val="BodyText"/>
      </w:pPr>
      <w:r w:rsidRPr="00DF4E7E">
        <w:t>Assessment must ensure use of:</w:t>
      </w:r>
    </w:p>
    <w:p w:rsidR="00000000" w:rsidRPr="00DF4E7E" w:rsidP="00DF4E7E">
      <w:pPr>
        <w:pStyle w:val="ListBullet"/>
      </w:pPr>
      <w:r w:rsidRPr="00DF4E7E">
        <w:t>Deaf, hard of hearing or Deafblind clients who have di</w:t>
      </w:r>
      <w:r w:rsidRPr="00DF4E7E">
        <w:t>fferent note taking requirements and for whom the individual provides note taking services; these can be:</w:t>
      </w:r>
    </w:p>
    <w:p w:rsidR="00000000" w:rsidRPr="00DF4E7E" w:rsidP="00DF4E7E">
      <w:pPr>
        <w:pStyle w:val="ListBullet2"/>
      </w:pPr>
      <w:r w:rsidRPr="00DF4E7E">
        <w:t>actual clients, or</w:t>
      </w:r>
    </w:p>
    <w:p w:rsidR="00000000" w:rsidRPr="00DF4E7E" w:rsidP="00DF4E7E">
      <w:pPr>
        <w:pStyle w:val="ListBullet2"/>
      </w:pPr>
      <w:r w:rsidRPr="00DF4E7E">
        <w:t>clients (“models”) in a simulated workplace within a training organisation</w:t>
      </w:r>
    </w:p>
    <w:p w:rsidR="00000000" w:rsidRPr="00DF4E7E" w:rsidP="00DF4E7E">
      <w:pPr>
        <w:pStyle w:val="ListBullet"/>
      </w:pPr>
      <w:r w:rsidRPr="00DF4E7E">
        <w:t>other service providers with whom the note taker can i</w:t>
      </w:r>
      <w:r w:rsidRPr="00DF4E7E">
        <w:t>nteract; these can also be people involved in simulations</w:t>
      </w:r>
    </w:p>
    <w:p w:rsidR="00000000" w:rsidRPr="00DF4E7E" w:rsidP="00DF4E7E">
      <w:pPr>
        <w:pStyle w:val="ListBullet"/>
      </w:pPr>
      <w:r w:rsidRPr="00DF4E7E">
        <w:t>activities that require the individual to work with commercial speed, timing and productivity to take accurate notes and present these within designated client timeframes</w:t>
      </w:r>
    </w:p>
    <w:p w:rsidR="00000000" w:rsidRPr="00DF4E7E" w:rsidP="00DF4E7E">
      <w:pPr>
        <w:pStyle w:val="ListBullet"/>
      </w:pPr>
      <w:r w:rsidRPr="00DF4E7E">
        <w:t>electronic devices on which</w:t>
      </w:r>
      <w:r w:rsidRPr="00DF4E7E">
        <w:t xml:space="preserve"> notes can be recorded which can include voice recorders, cameras, laptop computers and tablets</w:t>
      </w:r>
    </w:p>
    <w:p w:rsidR="00000000" w:rsidRPr="00DF4E7E" w:rsidP="00DF4E7E">
      <w:pPr>
        <w:pStyle w:val="ListBullet"/>
      </w:pPr>
      <w:r w:rsidRPr="00DF4E7E">
        <w:t>other note taking resources which can include note pads, pens, highlighting pens.</w:t>
      </w:r>
    </w:p>
    <w:p w:rsidR="00000000" w:rsidRPr="00DF4E7E" w:rsidP="00F514B6">
      <w:pPr>
        <w:pStyle w:val="BodyText"/>
      </w:pPr>
      <w:r w:rsidRPr="00DF4E7E">
        <w:t>Assessors must satisfy the Standards for Registered Training Organisations req</w:t>
      </w:r>
      <w:r w:rsidRPr="00DF4E7E">
        <w:t>uirements for assessors; and have three years’ experience in note taking for clients, and during that time have completed at least six assignments for Deaf or Deafblind people.</w:t>
      </w:r>
    </w:p>
    <w:p w:rsidR="00000000" w:rsidRPr="00DF4E7E" w:rsidP="00DF4E7E">
      <w:pPr>
        <w:pStyle w:val="Heading1"/>
      </w:pPr>
      <w:bookmarkStart w:id="13" w:name="O_962918"/>
      <w:bookmarkEnd w:id="13"/>
      <w:r w:rsidRPr="00DF4E7E">
        <w:t>Links</w:t>
      </w:r>
    </w:p>
    <w:p w:rsidR="00000000" w:rsidRPr="00DF4E7E" w:rsidP="00F514B6">
      <w:pPr>
        <w:pStyle w:val="BodyText"/>
      </w:pPr>
      <w:r w:rsidRPr="00DF4E7E">
        <w:t xml:space="preserve">Companion Volume Implementation Guide - </w:t>
      </w:r>
      <w:r>
        <w:fldChar w:fldCharType="begin"/>
      </w:r>
      <w:r>
        <w:instrText xml:space="preserve"> HYPERLINK "https://vetnet.gov.au/Pages/TrainingDocs.aspx?q=bebbece7-ff48-4d2c-8876-405679019623" </w:instrText>
      </w:r>
      <w:r>
        <w:fldChar w:fldCharType="separate"/>
      </w:r>
      <w:r w:rsidRPr="00CC43D4">
        <w:rPr>
          <w:rStyle w:val="Hyperlink"/>
        </w:rPr>
        <w:t>https://vetnet.gov.au/Pages/TrainingDocs.aspx?q=bebbece7-ff48-4d2c-8876-405679019623</w:t>
      </w:r>
      <w:r>
        <w:fldChar w:fldCharType="end"/>
      </w:r>
    </w:p>
    <w:p w:rsidR="00000000" w:rsidRPr="00DF4E7E" w:rsidP="00DF4E7E"/>
    <w:sectPr w:rsidSect="00DF4E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7E" w:rsidRPr="00F514B6" w:rsidP="00F51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B6" w:rsidP="00DF4E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14B6" w:rsidP="00DF4E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514B6" w:rsidP="00DF4E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7E" w:rsidP="00DF4E7E">
    <w:pPr>
      <w:pStyle w:val="Footer"/>
      <w:framePr w:wrap="around"/>
    </w:pPr>
    <w:r>
      <w:fldChar w:fldCharType="begin"/>
    </w:r>
    <w:r>
      <w:instrText xml:space="preserve"> DOCPROPERTY  Subject  \* MERGEFORMAT </w:instrText>
    </w:r>
    <w:r>
      <w:fldChar w:fldCharType="separate"/>
    </w:r>
    <w:r w:rsidR="00F514B6">
      <w:t>Approved</w:t>
    </w:r>
    <w:r w:rsidR="00F514B6">
      <w:fldChar w:fldCharType="end"/>
    </w:r>
    <w:r>
      <w:tab/>
      <w:t xml:space="preserve">Page </w:t>
    </w:r>
    <w:r>
      <w:fldChar w:fldCharType="begin"/>
    </w:r>
    <w:r>
      <w:instrText xml:space="preserve"> PAGE  \* Arabic  \* MERGEFORMAT </w:instrText>
    </w:r>
    <w:r>
      <w:fldChar w:fldCharType="separate"/>
    </w:r>
    <w:r w:rsidR="00F514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4B6">
      <w:rPr>
        <w:noProof/>
      </w:rPr>
      <w:t>5</w:t>
    </w:r>
    <w:r>
      <w:rPr>
        <w:noProof/>
      </w:rPr>
      <w:fldChar w:fldCharType="end"/>
    </w:r>
  </w:p>
  <w:p w:rsidR="00DF4E7E" w:rsidP="00DF4E7E">
    <w:pPr>
      <w:pStyle w:val="Footer"/>
      <w:framePr w:wrap="around"/>
    </w:pPr>
    <w:r>
      <w:t xml:space="preserve">© Commonwealth of Australia, </w:t>
    </w:r>
    <w:r>
      <w:fldChar w:fldCharType="begin"/>
    </w:r>
    <w:r>
      <w:instrText xml:space="preserve"> DATE  \@ "yyyy"  \* MERGEFORMAT </w:instrText>
    </w:r>
    <w:r>
      <w:fldChar w:fldCharType="separate"/>
    </w:r>
    <w:r w:rsidR="00F514B6">
      <w:rPr>
        <w:noProof/>
      </w:rPr>
      <w:t>2025</w:t>
    </w:r>
    <w:r>
      <w:fldChar w:fldCharType="end"/>
    </w:r>
    <w:r>
      <w:tab/>
    </w:r>
    <w:r>
      <w:fldChar w:fldCharType="begin"/>
    </w:r>
    <w:r>
      <w:instrText xml:space="preserve"> DOCPROPERTY  Author  \* MERGEFORMAT </w:instrText>
    </w:r>
    <w:r>
      <w:fldChar w:fldCharType="separate"/>
    </w:r>
    <w:r w:rsidR="00F514B6">
      <w:t>Public Skills Australia</w:t>
    </w:r>
    <w:r w:rsidR="00F514B6">
      <w:fldChar w:fldCharType="end"/>
    </w:r>
  </w:p>
  <w:p w:rsidR="00DF4E7E" w:rsidP="00DF4E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E7E" w:rsidRPr="00F514B6" w:rsidP="00F514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4B6" w:rsidRPr="002D2AF8" w:rsidP="00DF4E7E">
    <w:pPr>
      <w:pStyle w:val="Header"/>
      <w:framePr w:wrap="around"/>
    </w:pPr>
    <w:r>
      <w:fldChar w:fldCharType="begin"/>
    </w:r>
    <w:r>
      <w:instrText xml:space="preserve"> TITLE   \* MERGEFORMAT </w:instrText>
    </w:r>
    <w:r>
      <w:fldChar w:fldCharType="separate"/>
    </w:r>
    <w:r>
      <w:t>PSPLAN011 Take notes for Deaf, hard of hearing and Deafblind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14B6" w:rsidP="00DF4E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7E" w:rsidRPr="002D2AF8" w:rsidP="00DF4E7E">
    <w:pPr>
      <w:pStyle w:val="Header"/>
      <w:framePr w:wrap="around"/>
    </w:pPr>
    <w:r>
      <w:fldChar w:fldCharType="begin"/>
    </w:r>
    <w:r>
      <w:instrText xml:space="preserve"> TITLE   \* MERGEFORMAT </w:instrText>
    </w:r>
    <w:r>
      <w:fldChar w:fldCharType="separate"/>
    </w:r>
    <w:r w:rsidR="00F514B6">
      <w:t>PSPLAN011 Take notes for Deaf, hard of hearing and Deafblind people</w:t>
    </w:r>
    <w:r w:rsidR="00F514B6">
      <w:fldChar w:fldCharType="end"/>
    </w:r>
    <w:r>
      <w:tab/>
      <w:t xml:space="preserve">Date this document was generated: </w:t>
    </w:r>
    <w:r>
      <w:fldChar w:fldCharType="begin"/>
    </w:r>
    <w:r>
      <w:instrText xml:space="preserve"> CREATEDATE  \@ "d MMMM yyyy"  \* MERGEFORMAT </w:instrText>
    </w:r>
    <w:r>
      <w:fldChar w:fldCharType="separate"/>
    </w:r>
    <w:r w:rsidR="00F514B6">
      <w:rPr>
        <w:noProof/>
      </w:rPr>
      <w:t>2 March 2025</w:t>
    </w:r>
    <w:r>
      <w:fldChar w:fldCharType="end"/>
    </w:r>
  </w:p>
  <w:p w:rsidR="00DF4E7E" w:rsidP="00DF4E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27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A81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F2C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E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E7E"/>
    <w:pPr>
      <w:spacing w:before="360" w:after="60"/>
      <w:outlineLvl w:val="0"/>
    </w:pPr>
    <w:rPr>
      <w:sz w:val="32"/>
    </w:rPr>
  </w:style>
  <w:style w:type="paragraph" w:styleId="Heading2">
    <w:name w:val="heading 2"/>
    <w:basedOn w:val="HeadingBase"/>
    <w:next w:val="BodyText"/>
    <w:link w:val="Heading2Char"/>
    <w:qFormat/>
    <w:rsid w:val="00DF4E7E"/>
    <w:pPr>
      <w:keepLines/>
      <w:spacing w:before="240" w:after="120"/>
      <w:outlineLvl w:val="1"/>
    </w:pPr>
    <w:rPr>
      <w:sz w:val="28"/>
      <w:szCs w:val="40"/>
    </w:rPr>
  </w:style>
  <w:style w:type="paragraph" w:styleId="Heading3">
    <w:name w:val="heading 3"/>
    <w:basedOn w:val="HeadingBase"/>
    <w:next w:val="BodyText"/>
    <w:link w:val="Heading3Char"/>
    <w:qFormat/>
    <w:rsid w:val="00DF4E7E"/>
    <w:pPr>
      <w:spacing w:before="180" w:after="120"/>
      <w:outlineLvl w:val="2"/>
    </w:pPr>
    <w:rPr>
      <w:spacing w:val="-10"/>
      <w:kern w:val="32"/>
    </w:rPr>
  </w:style>
  <w:style w:type="paragraph" w:styleId="Heading4">
    <w:name w:val="heading 4"/>
    <w:basedOn w:val="HeadingBase"/>
    <w:next w:val="BodyText"/>
    <w:link w:val="Heading4Char"/>
    <w:qFormat/>
    <w:rsid w:val="00DF4E7E"/>
    <w:pPr>
      <w:spacing w:before="160" w:after="120"/>
      <w:outlineLvl w:val="3"/>
    </w:pPr>
    <w:rPr>
      <w:sz w:val="22"/>
    </w:rPr>
  </w:style>
  <w:style w:type="paragraph" w:styleId="Heading5">
    <w:name w:val="heading 5"/>
    <w:basedOn w:val="HeadingBase"/>
    <w:next w:val="Normal"/>
    <w:link w:val="Heading5Char"/>
    <w:qFormat/>
    <w:rsid w:val="00DF4E7E"/>
    <w:pPr>
      <w:spacing w:before="80"/>
      <w:outlineLvl w:val="4"/>
    </w:pPr>
    <w:rPr>
      <w:color w:val="918585"/>
      <w:sz w:val="20"/>
    </w:rPr>
  </w:style>
  <w:style w:type="paragraph" w:styleId="Heading6">
    <w:name w:val="heading 6"/>
    <w:basedOn w:val="HeadingBase"/>
    <w:next w:val="Normal"/>
    <w:link w:val="Heading6Char"/>
    <w:qFormat/>
    <w:rsid w:val="00DF4E7E"/>
    <w:pPr>
      <w:spacing w:before="60"/>
      <w:outlineLvl w:val="5"/>
    </w:pPr>
    <w:rPr>
      <w:color w:val="918585"/>
      <w:sz w:val="20"/>
    </w:rPr>
  </w:style>
  <w:style w:type="paragraph" w:styleId="Heading7">
    <w:name w:val="heading 7"/>
    <w:basedOn w:val="Normal"/>
    <w:next w:val="Normal"/>
    <w:link w:val="Heading7Char"/>
    <w:qFormat/>
    <w:rsid w:val="00DF4E7E"/>
    <w:pPr>
      <w:ind w:left="720"/>
      <w:outlineLvl w:val="6"/>
    </w:pPr>
    <w:rPr>
      <w:i/>
    </w:rPr>
  </w:style>
  <w:style w:type="paragraph" w:styleId="Heading8">
    <w:name w:val="heading 8"/>
    <w:basedOn w:val="Normal"/>
    <w:next w:val="Normal"/>
    <w:link w:val="Heading8Char"/>
    <w:qFormat/>
    <w:rsid w:val="00DF4E7E"/>
    <w:pPr>
      <w:ind w:left="720"/>
      <w:outlineLvl w:val="7"/>
    </w:pPr>
    <w:rPr>
      <w:i/>
    </w:rPr>
  </w:style>
  <w:style w:type="paragraph" w:styleId="Heading9">
    <w:name w:val="heading 9"/>
    <w:basedOn w:val="Normal"/>
    <w:next w:val="Normal"/>
    <w:link w:val="Heading9Char"/>
    <w:qFormat/>
    <w:rsid w:val="00DF4E7E"/>
    <w:pPr>
      <w:ind w:left="720"/>
      <w:outlineLvl w:val="8"/>
    </w:pPr>
    <w:rPr>
      <w:i/>
    </w:rPr>
  </w:style>
  <w:style w:type="character" w:default="1" w:styleId="DefaultParagraphFont">
    <w:name w:val="Default Paragraph Font"/>
    <w:uiPriority w:val="1"/>
    <w:unhideWhenUsed/>
    <w:rsid w:val="00DF4E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E7E"/>
  </w:style>
  <w:style w:type="character" w:customStyle="1" w:styleId="Heading1Char">
    <w:name w:val="Heading 1 Char"/>
    <w:basedOn w:val="DefaultParagraphFont"/>
    <w:link w:val="Heading1"/>
    <w:rsid w:val="00DF4E7E"/>
    <w:rPr>
      <w:rFonts w:ascii="Times New Roman" w:eastAsia="Times New Roman" w:hAnsi="Times New Roman" w:cs="Times New Roman"/>
      <w:b/>
      <w:sz w:val="32"/>
      <w:szCs w:val="20"/>
      <w:lang w:eastAsia="en-US"/>
    </w:rPr>
  </w:style>
  <w:style w:type="paragraph" w:styleId="BodyText">
    <w:name w:val="Body Text"/>
    <w:basedOn w:val="Normal"/>
    <w:link w:val="BodyTextChar"/>
    <w:rsid w:val="00DF4E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E7E"/>
    <w:rPr>
      <w:rFonts w:ascii="Times New Roman" w:eastAsia="Times New Roman" w:hAnsi="Times New Roman" w:cs="Times New Roman"/>
      <w:sz w:val="24"/>
      <w:lang w:eastAsia="en-US"/>
    </w:rPr>
  </w:style>
  <w:style w:type="paragraph" w:styleId="List">
    <w:name w:val="List"/>
    <w:basedOn w:val="BodyText"/>
    <w:next w:val="BodyText"/>
    <w:rsid w:val="00DF4E7E"/>
    <w:pPr>
      <w:tabs>
        <w:tab w:val="left" w:pos="340"/>
      </w:tabs>
      <w:spacing w:before="60" w:after="60"/>
      <w:ind w:left="340" w:hanging="340"/>
    </w:pPr>
  </w:style>
  <w:style w:type="paragraph" w:styleId="ListBullet">
    <w:name w:val="List Bullet"/>
    <w:basedOn w:val="List"/>
    <w:rsid w:val="00DF4E7E"/>
    <w:pPr>
      <w:numPr>
        <w:numId w:val="12"/>
      </w:numPr>
      <w:tabs>
        <w:tab w:val="clear" w:pos="340"/>
      </w:tabs>
      <w:spacing w:before="40" w:after="40"/>
    </w:pPr>
  </w:style>
  <w:style w:type="character" w:customStyle="1" w:styleId="SpecialBold">
    <w:name w:val="Special Bold"/>
    <w:basedOn w:val="DefaultParagraphFont"/>
    <w:rsid w:val="00DF4E7E"/>
    <w:rPr>
      <w:b/>
      <w:spacing w:val="0"/>
    </w:rPr>
  </w:style>
  <w:style w:type="paragraph" w:styleId="ListBullet2">
    <w:name w:val="List Bullet 2"/>
    <w:basedOn w:val="List2"/>
    <w:rsid w:val="00DF4E7E"/>
    <w:pPr>
      <w:numPr>
        <w:numId w:val="13"/>
      </w:numPr>
      <w:tabs>
        <w:tab w:val="clear" w:pos="680"/>
      </w:tabs>
    </w:pPr>
  </w:style>
  <w:style w:type="character" w:styleId="Emphasis">
    <w:name w:val="Emphasis"/>
    <w:basedOn w:val="DefaultParagraphFont"/>
    <w:qFormat/>
    <w:rsid w:val="00DF4E7E"/>
    <w:rPr>
      <w:i/>
    </w:rPr>
  </w:style>
  <w:style w:type="paragraph" w:customStyle="1" w:styleId="SuperHeading">
    <w:name w:val="SuperHeading"/>
    <w:basedOn w:val="Normal"/>
    <w:rsid w:val="00DF4E7E"/>
    <w:pPr>
      <w:spacing w:before="240" w:after="120"/>
      <w:outlineLvl w:val="0"/>
    </w:pPr>
    <w:rPr>
      <w:rFonts w:ascii="Times New Roman" w:hAnsi="Times New Roman"/>
      <w:b/>
      <w:sz w:val="32"/>
    </w:rPr>
  </w:style>
  <w:style w:type="paragraph" w:customStyle="1" w:styleId="AllowPageBreak">
    <w:name w:val="AllowPageBreak"/>
    <w:rsid w:val="00DF4E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E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E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E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E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E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E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E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E7E"/>
    <w:rPr>
      <w:rFonts w:ascii="Courier New" w:eastAsia="Times New Roman" w:hAnsi="Courier New" w:cs="Times New Roman"/>
      <w:i/>
      <w:szCs w:val="20"/>
      <w:lang w:eastAsia="en-US"/>
    </w:rPr>
  </w:style>
  <w:style w:type="paragraph" w:customStyle="1" w:styleId="HeadingBase">
    <w:name w:val="Heading Base"/>
    <w:rsid w:val="00DF4E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E7E"/>
    <w:pPr>
      <w:tabs>
        <w:tab w:val="right" w:leader="dot" w:pos="9072"/>
      </w:tabs>
      <w:ind w:left="567"/>
    </w:pPr>
    <w:rPr>
      <w:szCs w:val="22"/>
    </w:rPr>
  </w:style>
  <w:style w:type="paragraph" w:customStyle="1" w:styleId="TOCBase">
    <w:name w:val="TOC Base"/>
    <w:rsid w:val="00DF4E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E7E"/>
    <w:pPr>
      <w:tabs>
        <w:tab w:val="right" w:leader="dot" w:pos="9072"/>
      </w:tabs>
      <w:spacing w:before="40" w:after="40"/>
      <w:ind w:left="284"/>
    </w:pPr>
    <w:rPr>
      <w:rFonts w:ascii="Times New Roman" w:hAnsi="Times New Roman"/>
    </w:rPr>
  </w:style>
  <w:style w:type="paragraph" w:styleId="TOC1">
    <w:name w:val="toc 1"/>
    <w:basedOn w:val="TOCBase"/>
    <w:next w:val="Normal"/>
    <w:rsid w:val="00DF4E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E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E7E"/>
    <w:rPr>
      <w:rFonts w:ascii="Times New Roman" w:eastAsia="Times New Roman" w:hAnsi="Times New Roman" w:cs="Times New Roman"/>
      <w:sz w:val="16"/>
      <w:lang w:eastAsia="en-US"/>
    </w:rPr>
  </w:style>
  <w:style w:type="paragraph" w:styleId="Title">
    <w:name w:val="Title"/>
    <w:basedOn w:val="HeadingBase"/>
    <w:link w:val="TitleChar"/>
    <w:qFormat/>
    <w:rsid w:val="00DF4E7E"/>
    <w:pPr>
      <w:spacing w:before="5040"/>
      <w:jc w:val="center"/>
    </w:pPr>
    <w:rPr>
      <w:sz w:val="48"/>
      <w:szCs w:val="72"/>
      <w:lang w:val="en-US"/>
    </w:rPr>
  </w:style>
  <w:style w:type="character" w:customStyle="1" w:styleId="TitleChar">
    <w:name w:val="Title Char"/>
    <w:basedOn w:val="DefaultParagraphFont"/>
    <w:link w:val="Title"/>
    <w:rsid w:val="00DF4E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E7E"/>
    <w:pPr>
      <w:tabs>
        <w:tab w:val="left" w:pos="3600"/>
        <w:tab w:val="left" w:pos="3958"/>
      </w:tabs>
    </w:pPr>
  </w:style>
  <w:style w:type="paragraph" w:customStyle="1" w:styleId="Note">
    <w:name w:val="Note"/>
    <w:basedOn w:val="BodyText"/>
    <w:rsid w:val="00DF4E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E7E"/>
    <w:pPr>
      <w:framePr w:wrap="auto" w:hAnchor="text" w:y="6049"/>
    </w:pPr>
    <w:rPr>
      <w:color w:val="000000"/>
      <w:sz w:val="40"/>
    </w:rPr>
  </w:style>
  <w:style w:type="paragraph" w:customStyle="1" w:styleId="TOCTitle">
    <w:name w:val="TOCTitle"/>
    <w:basedOn w:val="Heading1"/>
    <w:rsid w:val="00DF4E7E"/>
    <w:pPr>
      <w:spacing w:after="240"/>
      <w:jc w:val="center"/>
      <w:outlineLvl w:val="9"/>
    </w:pPr>
    <w:rPr>
      <w:caps/>
    </w:rPr>
  </w:style>
  <w:style w:type="paragraph" w:customStyle="1" w:styleId="Version">
    <w:name w:val="Version"/>
    <w:rsid w:val="00DF4E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E7E"/>
    <w:pPr>
      <w:keepNext w:val="0"/>
      <w:tabs>
        <w:tab w:val="right" w:pos="4176"/>
      </w:tabs>
      <w:ind w:left="198" w:hanging="198"/>
    </w:pPr>
    <w:rPr>
      <w:rFonts w:ascii="Garamond" w:hAnsi="Garamond"/>
    </w:rPr>
  </w:style>
  <w:style w:type="paragraph" w:styleId="IndexHeading">
    <w:name w:val="index heading"/>
    <w:basedOn w:val="Normal"/>
    <w:next w:val="Index1"/>
    <w:semiHidden/>
    <w:rsid w:val="00DF4E7E"/>
    <w:pPr>
      <w:spacing w:before="120" w:after="120"/>
    </w:pPr>
    <w:rPr>
      <w:rFonts w:ascii="Arial" w:hAnsi="Arial"/>
      <w:b/>
      <w:color w:val="918585"/>
      <w:sz w:val="24"/>
    </w:rPr>
  </w:style>
  <w:style w:type="paragraph" w:styleId="Header">
    <w:name w:val="header"/>
    <w:basedOn w:val="Normal"/>
    <w:link w:val="HeaderChar"/>
    <w:rsid w:val="00DF4E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E7E"/>
    <w:rPr>
      <w:rFonts w:ascii="Times New Roman" w:eastAsia="Times New Roman" w:hAnsi="Times New Roman" w:cs="Times New Roman"/>
      <w:sz w:val="16"/>
      <w:szCs w:val="20"/>
      <w:lang w:val="en-GB" w:eastAsia="en-US"/>
    </w:rPr>
  </w:style>
  <w:style w:type="paragraph" w:customStyle="1" w:styleId="Chapter">
    <w:name w:val="Chapter"/>
    <w:basedOn w:val="Normal"/>
    <w:rsid w:val="00DF4E7E"/>
    <w:pPr>
      <w:spacing w:before="240"/>
    </w:pPr>
    <w:rPr>
      <w:rFonts w:ascii="Times New Roman" w:hAnsi="Times New Roman"/>
      <w:smallCaps/>
      <w:spacing w:val="80"/>
      <w:sz w:val="28"/>
    </w:rPr>
  </w:style>
  <w:style w:type="paragraph" w:customStyle="1" w:styleId="InChapter">
    <w:name w:val="InChapter"/>
    <w:basedOn w:val="Heading3"/>
    <w:rsid w:val="00DF4E7E"/>
    <w:pPr>
      <w:spacing w:after="240"/>
      <w:outlineLvl w:val="9"/>
    </w:pPr>
    <w:rPr>
      <w:noProof/>
    </w:rPr>
  </w:style>
  <w:style w:type="paragraph" w:styleId="Index2">
    <w:name w:val="index 2"/>
    <w:basedOn w:val="Normal"/>
    <w:next w:val="Normal"/>
    <w:semiHidden/>
    <w:rsid w:val="00DF4E7E"/>
    <w:pPr>
      <w:tabs>
        <w:tab w:val="right" w:pos="4176"/>
      </w:tabs>
      <w:ind w:left="568" w:hanging="284"/>
    </w:pPr>
    <w:rPr>
      <w:rFonts w:ascii="Garamond" w:hAnsi="Garamond"/>
    </w:rPr>
  </w:style>
  <w:style w:type="paragraph" w:customStyle="1" w:styleId="Byline">
    <w:name w:val="Byline"/>
    <w:rsid w:val="00DF4E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E7E"/>
    <w:pPr>
      <w:tabs>
        <w:tab w:val="clear" w:pos="3600"/>
        <w:tab w:val="clear" w:pos="3958"/>
      </w:tabs>
      <w:jc w:val="right"/>
    </w:pPr>
  </w:style>
  <w:style w:type="paragraph" w:styleId="Caption">
    <w:name w:val="caption"/>
    <w:basedOn w:val="BodyText"/>
    <w:next w:val="Normal"/>
    <w:qFormat/>
    <w:rsid w:val="00DF4E7E"/>
    <w:pPr>
      <w:framePr w:w="2268" w:hSpace="181" w:vSpace="181" w:wrap="around" w:vAnchor="text" w:hAnchor="page" w:x="1135" w:y="285" w:anchorLock="1"/>
    </w:pPr>
    <w:rPr>
      <w:i/>
    </w:rPr>
  </w:style>
  <w:style w:type="paragraph" w:customStyle="1" w:styleId="MiniTOCTitle">
    <w:name w:val="MiniTOCTitle"/>
    <w:basedOn w:val="Heading4"/>
    <w:rsid w:val="00DF4E7E"/>
    <w:pPr>
      <w:spacing w:before="240"/>
      <w:outlineLvl w:val="9"/>
    </w:pPr>
    <w:rPr>
      <w:noProof/>
      <w:sz w:val="24"/>
    </w:rPr>
  </w:style>
  <w:style w:type="paragraph" w:customStyle="1" w:styleId="MiniTOCItem">
    <w:name w:val="MiniTOCItem"/>
    <w:basedOn w:val="ListBullet"/>
    <w:rsid w:val="00DF4E7E"/>
    <w:pPr>
      <w:numPr>
        <w:numId w:val="0"/>
      </w:numPr>
      <w:tabs>
        <w:tab w:val="right" w:leader="dot" w:pos="6521"/>
      </w:tabs>
      <w:spacing w:before="0" w:after="0"/>
    </w:pPr>
  </w:style>
  <w:style w:type="paragraph" w:customStyle="1" w:styleId="TOFTitle">
    <w:name w:val="TOFTitle"/>
    <w:basedOn w:val="TOCTitle"/>
    <w:rsid w:val="00DF4E7E"/>
  </w:style>
  <w:style w:type="paragraph" w:styleId="TableofFigures">
    <w:name w:val="table of figures"/>
    <w:basedOn w:val="Normal"/>
    <w:next w:val="Normal"/>
    <w:semiHidden/>
    <w:rsid w:val="00DF4E7E"/>
    <w:pPr>
      <w:tabs>
        <w:tab w:val="right" w:leader="dot" w:pos="9072"/>
      </w:tabs>
      <w:ind w:left="970" w:hanging="403"/>
    </w:pPr>
    <w:rPr>
      <w:rFonts w:ascii="Times New Roman" w:hAnsi="Times New Roman"/>
      <w:b/>
    </w:rPr>
  </w:style>
  <w:style w:type="paragraph" w:styleId="ListNumber">
    <w:name w:val="List Number"/>
    <w:basedOn w:val="List"/>
    <w:rsid w:val="00DF4E7E"/>
    <w:pPr>
      <w:numPr>
        <w:numId w:val="15"/>
      </w:numPr>
      <w:tabs>
        <w:tab w:val="clear" w:pos="340"/>
      </w:tabs>
    </w:pPr>
  </w:style>
  <w:style w:type="character" w:customStyle="1" w:styleId="WingdingSymbols">
    <w:name w:val="Wingding Symbols"/>
    <w:rsid w:val="00DF4E7E"/>
    <w:rPr>
      <w:rFonts w:ascii="Wingdings" w:hAnsi="Wingdings"/>
    </w:rPr>
  </w:style>
  <w:style w:type="paragraph" w:customStyle="1" w:styleId="TableHeading">
    <w:name w:val="Table Heading"/>
    <w:basedOn w:val="HeadingBase"/>
    <w:rsid w:val="00DF4E7E"/>
    <w:pPr>
      <w:keepLines/>
      <w:pBdr>
        <w:bottom w:val="single" w:sz="6" w:space="1" w:color="918585"/>
      </w:pBdr>
      <w:spacing w:before="240"/>
    </w:pPr>
  </w:style>
  <w:style w:type="character" w:customStyle="1" w:styleId="HotSpot">
    <w:name w:val="HotSpot"/>
    <w:rsid w:val="00DF4E7E"/>
    <w:rPr>
      <w:color w:val="0033CC"/>
      <w:u w:val="none"/>
    </w:rPr>
  </w:style>
  <w:style w:type="paragraph" w:customStyle="1" w:styleId="BodyTextRight">
    <w:name w:val="Body Text Right"/>
    <w:basedOn w:val="BodyText"/>
    <w:rsid w:val="00DF4E7E"/>
    <w:pPr>
      <w:spacing w:before="0" w:after="0"/>
      <w:jc w:val="right"/>
    </w:pPr>
  </w:style>
  <w:style w:type="paragraph" w:styleId="Index3">
    <w:name w:val="index 3"/>
    <w:basedOn w:val="ListNumber2"/>
    <w:next w:val="Normal"/>
    <w:semiHidden/>
    <w:rsid w:val="00DF4E7E"/>
    <w:pPr>
      <w:numPr>
        <w:numId w:val="0"/>
      </w:numPr>
      <w:tabs>
        <w:tab w:val="right" w:leader="dot" w:pos="4176"/>
      </w:tabs>
    </w:pPr>
  </w:style>
  <w:style w:type="paragraph" w:styleId="ListNumber2">
    <w:name w:val="List Number 2"/>
    <w:basedOn w:val="List2"/>
    <w:rsid w:val="00DF4E7E"/>
    <w:pPr>
      <w:numPr>
        <w:numId w:val="10"/>
      </w:numPr>
      <w:tabs>
        <w:tab w:val="clear" w:pos="1060"/>
      </w:tabs>
    </w:pPr>
  </w:style>
  <w:style w:type="paragraph" w:customStyle="1" w:styleId="MarginNote">
    <w:name w:val="Margin Note"/>
    <w:basedOn w:val="BodyText"/>
    <w:rsid w:val="00DF4E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E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E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E7E"/>
    <w:rPr>
      <w:sz w:val="32"/>
    </w:rPr>
  </w:style>
  <w:style w:type="paragraph" w:customStyle="1" w:styleId="HeadingProcedure">
    <w:name w:val="Heading Procedure"/>
    <w:basedOn w:val="HeadingBase"/>
    <w:next w:val="Normal"/>
    <w:rsid w:val="00DF4E7E"/>
    <w:pPr>
      <w:tabs>
        <w:tab w:val="left" w:pos="0"/>
      </w:tabs>
      <w:spacing w:before="120" w:after="60"/>
    </w:pPr>
    <w:rPr>
      <w:i/>
      <w:color w:val="918585"/>
      <w:sz w:val="22"/>
    </w:rPr>
  </w:style>
  <w:style w:type="paragraph" w:customStyle="1" w:styleId="TableBodyText">
    <w:name w:val="Table Body Text"/>
    <w:basedOn w:val="BodyText"/>
    <w:rsid w:val="00DF4E7E"/>
    <w:pPr>
      <w:spacing w:before="60" w:after="60"/>
    </w:pPr>
  </w:style>
  <w:style w:type="paragraph" w:styleId="ListContinue">
    <w:name w:val="List Continue"/>
    <w:basedOn w:val="List"/>
    <w:rsid w:val="00DF4E7E"/>
    <w:pPr>
      <w:ind w:firstLine="0"/>
    </w:pPr>
  </w:style>
  <w:style w:type="paragraph" w:customStyle="1" w:styleId="ListNote">
    <w:name w:val="List Note"/>
    <w:basedOn w:val="List"/>
    <w:rsid w:val="00DF4E7E"/>
    <w:pPr>
      <w:pBdr>
        <w:top w:val="single" w:sz="6" w:space="2" w:color="918585"/>
        <w:bottom w:val="single" w:sz="6" w:space="2" w:color="918585"/>
      </w:pBdr>
      <w:tabs>
        <w:tab w:val="left" w:pos="1021"/>
      </w:tabs>
      <w:ind w:firstLine="0"/>
    </w:pPr>
  </w:style>
  <w:style w:type="paragraph" w:customStyle="1" w:styleId="Warning">
    <w:name w:val="Warning"/>
    <w:basedOn w:val="BodyText"/>
    <w:rsid w:val="00DF4E7E"/>
    <w:pPr>
      <w:shd w:val="clear" w:color="auto" w:fill="D9D9D9"/>
      <w:tabs>
        <w:tab w:val="left" w:pos="992"/>
      </w:tabs>
      <w:ind w:left="119" w:right="119"/>
    </w:pPr>
    <w:rPr>
      <w:sz w:val="20"/>
    </w:rPr>
  </w:style>
  <w:style w:type="paragraph" w:customStyle="1" w:styleId="MarginIcons">
    <w:name w:val="Margin Icons"/>
    <w:basedOn w:val="BodyText"/>
    <w:rsid w:val="00DF4E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E7E"/>
    <w:rPr>
      <w:rFonts w:ascii="Courier New" w:hAnsi="Courier New"/>
    </w:rPr>
  </w:style>
  <w:style w:type="paragraph" w:customStyle="1" w:styleId="NoteBullet">
    <w:name w:val="Note Bullet"/>
    <w:basedOn w:val="Note"/>
    <w:rsid w:val="00DF4E7E"/>
    <w:pPr>
      <w:tabs>
        <w:tab w:val="clear" w:pos="680"/>
      </w:tabs>
      <w:spacing w:before="60" w:after="60"/>
    </w:pPr>
  </w:style>
  <w:style w:type="paragraph" w:customStyle="1" w:styleId="SubHeading2">
    <w:name w:val="SubHeading2"/>
    <w:basedOn w:val="HeadingBase"/>
    <w:rsid w:val="00DF4E7E"/>
    <w:pPr>
      <w:spacing w:before="240" w:after="60"/>
    </w:pPr>
    <w:rPr>
      <w:sz w:val="20"/>
    </w:rPr>
  </w:style>
  <w:style w:type="paragraph" w:customStyle="1" w:styleId="SubHeading1">
    <w:name w:val="SubHeading1"/>
    <w:basedOn w:val="HeadingBase"/>
    <w:rsid w:val="00DF4E7E"/>
    <w:pPr>
      <w:spacing w:before="240" w:after="60"/>
    </w:pPr>
    <w:rPr>
      <w:color w:val="918585"/>
      <w:sz w:val="22"/>
    </w:rPr>
  </w:style>
  <w:style w:type="paragraph" w:customStyle="1" w:styleId="SideHeading">
    <w:name w:val="Side Heading"/>
    <w:basedOn w:val="HeadingBase"/>
    <w:rsid w:val="00DF4E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E7E"/>
    <w:pPr>
      <w:tabs>
        <w:tab w:val="num" w:pos="360"/>
      </w:tabs>
    </w:pPr>
  </w:style>
  <w:style w:type="paragraph" w:styleId="PlainText">
    <w:name w:val="Plain Text"/>
    <w:basedOn w:val="Normal"/>
    <w:link w:val="PlainTextChar"/>
    <w:rsid w:val="00DF4E7E"/>
    <w:rPr>
      <w:sz w:val="20"/>
    </w:rPr>
  </w:style>
  <w:style w:type="character" w:customStyle="1" w:styleId="PlainTextChar">
    <w:name w:val="Plain Text Char"/>
    <w:basedOn w:val="DefaultParagraphFont"/>
    <w:link w:val="PlainText"/>
    <w:rsid w:val="00DF4E7E"/>
    <w:rPr>
      <w:rFonts w:ascii="Courier New" w:eastAsia="Times New Roman" w:hAnsi="Courier New" w:cs="Times New Roman"/>
      <w:sz w:val="20"/>
      <w:szCs w:val="20"/>
      <w:lang w:eastAsia="en-US"/>
    </w:rPr>
  </w:style>
  <w:style w:type="character" w:customStyle="1" w:styleId="MenuOption">
    <w:name w:val="Menu Option"/>
    <w:basedOn w:val="DefaultParagraphFont"/>
    <w:rsid w:val="00DF4E7E"/>
    <w:rPr>
      <w:b/>
      <w:smallCaps/>
    </w:rPr>
  </w:style>
  <w:style w:type="paragraph" w:customStyle="1" w:styleId="TableListNumber">
    <w:name w:val="Table List Number"/>
    <w:basedOn w:val="ListNumber"/>
    <w:rsid w:val="00DF4E7E"/>
    <w:pPr>
      <w:numPr>
        <w:numId w:val="0"/>
      </w:numPr>
    </w:pPr>
  </w:style>
  <w:style w:type="paragraph" w:styleId="TOC4">
    <w:name w:val="toc 4"/>
    <w:basedOn w:val="TOCBase"/>
    <w:next w:val="Normal"/>
    <w:semiHidden/>
    <w:rsid w:val="00DF4E7E"/>
    <w:pPr>
      <w:tabs>
        <w:tab w:val="right" w:leader="dot" w:pos="9071"/>
      </w:tabs>
      <w:ind w:left="1701"/>
    </w:pPr>
  </w:style>
  <w:style w:type="paragraph" w:customStyle="1" w:styleId="ListAlpha">
    <w:name w:val="List Alpha"/>
    <w:basedOn w:val="List"/>
    <w:rsid w:val="00DF4E7E"/>
    <w:pPr>
      <w:numPr>
        <w:numId w:val="9"/>
      </w:numPr>
    </w:pPr>
  </w:style>
  <w:style w:type="paragraph" w:customStyle="1" w:styleId="ListAlpha2">
    <w:name w:val="List Alpha 2"/>
    <w:basedOn w:val="List2"/>
    <w:rsid w:val="00DF4E7E"/>
    <w:pPr>
      <w:numPr>
        <w:numId w:val="8"/>
      </w:numPr>
    </w:pPr>
  </w:style>
  <w:style w:type="paragraph" w:styleId="List2">
    <w:name w:val="List 2"/>
    <w:basedOn w:val="BodyText"/>
    <w:rsid w:val="00DF4E7E"/>
    <w:pPr>
      <w:tabs>
        <w:tab w:val="left" w:pos="680"/>
      </w:tabs>
      <w:spacing w:before="60" w:after="60"/>
      <w:ind w:left="680" w:hanging="340"/>
    </w:pPr>
  </w:style>
  <w:style w:type="paragraph" w:styleId="List3">
    <w:name w:val="List 3"/>
    <w:basedOn w:val="BodyText"/>
    <w:rsid w:val="00DF4E7E"/>
    <w:pPr>
      <w:tabs>
        <w:tab w:val="left" w:pos="1021"/>
      </w:tabs>
      <w:spacing w:before="60" w:after="60"/>
      <w:ind w:left="1020" w:hanging="340"/>
    </w:pPr>
  </w:style>
  <w:style w:type="paragraph" w:styleId="List4">
    <w:name w:val="List 4"/>
    <w:basedOn w:val="BodyText"/>
    <w:rsid w:val="00DF4E7E"/>
    <w:pPr>
      <w:tabs>
        <w:tab w:val="left" w:pos="1361"/>
      </w:tabs>
      <w:spacing w:before="60" w:after="60"/>
      <w:ind w:left="1361" w:hanging="340"/>
    </w:pPr>
  </w:style>
  <w:style w:type="paragraph" w:styleId="List5">
    <w:name w:val="List 5"/>
    <w:basedOn w:val="BodyText"/>
    <w:rsid w:val="00DF4E7E"/>
    <w:pPr>
      <w:tabs>
        <w:tab w:val="left" w:pos="1701"/>
      </w:tabs>
      <w:spacing w:before="60" w:after="60"/>
      <w:ind w:left="1701" w:hanging="340"/>
    </w:pPr>
  </w:style>
  <w:style w:type="paragraph" w:styleId="ListBullet3">
    <w:name w:val="List Bullet 3"/>
    <w:basedOn w:val="List3"/>
    <w:rsid w:val="00DF4E7E"/>
    <w:pPr>
      <w:numPr>
        <w:numId w:val="14"/>
      </w:numPr>
      <w:tabs>
        <w:tab w:val="clear" w:pos="1021"/>
      </w:tabs>
      <w:ind w:left="1037" w:hanging="357"/>
    </w:pPr>
  </w:style>
  <w:style w:type="paragraph" w:styleId="ListBullet4">
    <w:name w:val="List Bullet 4"/>
    <w:basedOn w:val="List4"/>
    <w:rsid w:val="00DF4E7E"/>
    <w:pPr>
      <w:numPr>
        <w:numId w:val="3"/>
      </w:numPr>
      <w:tabs>
        <w:tab w:val="clear" w:pos="1361"/>
      </w:tabs>
    </w:pPr>
  </w:style>
  <w:style w:type="paragraph" w:styleId="ListBullet5">
    <w:name w:val="List Bullet 5"/>
    <w:basedOn w:val="List5"/>
    <w:rsid w:val="00DF4E7E"/>
    <w:pPr>
      <w:numPr>
        <w:numId w:val="4"/>
      </w:numPr>
    </w:pPr>
  </w:style>
  <w:style w:type="paragraph" w:styleId="ListContinue2">
    <w:name w:val="List Continue 2"/>
    <w:basedOn w:val="List2"/>
    <w:rsid w:val="00DF4E7E"/>
    <w:pPr>
      <w:ind w:firstLine="0"/>
    </w:pPr>
  </w:style>
  <w:style w:type="paragraph" w:styleId="ListContinue3">
    <w:name w:val="List Continue 3"/>
    <w:basedOn w:val="List3"/>
    <w:rsid w:val="00DF4E7E"/>
    <w:pPr>
      <w:ind w:left="1021" w:firstLine="0"/>
    </w:pPr>
  </w:style>
  <w:style w:type="paragraph" w:styleId="ListContinue4">
    <w:name w:val="List Continue 4"/>
    <w:basedOn w:val="List4"/>
    <w:rsid w:val="00DF4E7E"/>
    <w:pPr>
      <w:ind w:firstLine="0"/>
    </w:pPr>
  </w:style>
  <w:style w:type="paragraph" w:styleId="ListContinue5">
    <w:name w:val="List Continue 5"/>
    <w:basedOn w:val="List5"/>
    <w:rsid w:val="00DF4E7E"/>
    <w:pPr>
      <w:ind w:firstLine="0"/>
    </w:pPr>
  </w:style>
  <w:style w:type="paragraph" w:styleId="ListNumber3">
    <w:name w:val="List Number 3"/>
    <w:basedOn w:val="List3"/>
    <w:rsid w:val="00DF4E7E"/>
    <w:pPr>
      <w:numPr>
        <w:numId w:val="5"/>
      </w:numPr>
    </w:pPr>
  </w:style>
  <w:style w:type="paragraph" w:styleId="ListNumber4">
    <w:name w:val="List Number 4"/>
    <w:basedOn w:val="List4"/>
    <w:rsid w:val="00DF4E7E"/>
    <w:pPr>
      <w:numPr>
        <w:numId w:val="6"/>
      </w:numPr>
    </w:pPr>
  </w:style>
  <w:style w:type="paragraph" w:styleId="ListNumber5">
    <w:name w:val="List Number 5"/>
    <w:basedOn w:val="List5"/>
    <w:rsid w:val="00DF4E7E"/>
    <w:pPr>
      <w:numPr>
        <w:numId w:val="7"/>
      </w:numPr>
    </w:pPr>
  </w:style>
  <w:style w:type="paragraph" w:styleId="BlockText">
    <w:name w:val="Block Text"/>
    <w:basedOn w:val="Normal"/>
    <w:rsid w:val="00DF4E7E"/>
    <w:pPr>
      <w:spacing w:after="120"/>
      <w:ind w:left="1440" w:right="1440"/>
    </w:pPr>
  </w:style>
  <w:style w:type="character" w:customStyle="1" w:styleId="Subscript">
    <w:name w:val="Subscript"/>
    <w:basedOn w:val="DefaultParagraphFont"/>
    <w:rsid w:val="00DF4E7E"/>
    <w:rPr>
      <w:sz w:val="16"/>
      <w:vertAlign w:val="subscript"/>
    </w:rPr>
  </w:style>
  <w:style w:type="character" w:customStyle="1" w:styleId="Superscript">
    <w:name w:val="Superscript"/>
    <w:basedOn w:val="DefaultParagraphFont"/>
    <w:rsid w:val="00DF4E7E"/>
    <w:rPr>
      <w:sz w:val="16"/>
      <w:vertAlign w:val="superscript"/>
    </w:rPr>
  </w:style>
  <w:style w:type="character" w:customStyle="1" w:styleId="Symbols">
    <w:name w:val="Symbols"/>
    <w:basedOn w:val="DefaultParagraphFont"/>
    <w:rsid w:val="00DF4E7E"/>
    <w:rPr>
      <w:rFonts w:ascii="Symbol" w:hAnsi="Symbol"/>
    </w:rPr>
  </w:style>
  <w:style w:type="character" w:customStyle="1" w:styleId="MenuOptions">
    <w:name w:val="Menu Options"/>
    <w:basedOn w:val="DefaultParagraphFont"/>
    <w:rsid w:val="00DF4E7E"/>
    <w:rPr>
      <w:rFonts w:ascii="Arial Narrow" w:hAnsi="Arial Narrow"/>
      <w:smallCaps/>
    </w:rPr>
  </w:style>
  <w:style w:type="character" w:customStyle="1" w:styleId="Buttons">
    <w:name w:val="Buttons"/>
    <w:basedOn w:val="DefaultParagraphFont"/>
    <w:rsid w:val="00DF4E7E"/>
    <w:rPr>
      <w:b/>
    </w:rPr>
  </w:style>
  <w:style w:type="character" w:customStyle="1" w:styleId="Underlined">
    <w:name w:val="Underlined"/>
    <w:basedOn w:val="DefaultParagraphFont"/>
    <w:rsid w:val="00DF4E7E"/>
    <w:rPr>
      <w:u w:val="single"/>
    </w:rPr>
  </w:style>
  <w:style w:type="paragraph" w:customStyle="1" w:styleId="TableBodyTextRight">
    <w:name w:val="Table Body Text Right"/>
    <w:basedOn w:val="TableBodyText"/>
    <w:rsid w:val="00DF4E7E"/>
    <w:pPr>
      <w:widowControl w:val="0"/>
      <w:autoSpaceDE w:val="0"/>
      <w:autoSpaceDN w:val="0"/>
      <w:adjustRightInd w:val="0"/>
      <w:jc w:val="right"/>
    </w:pPr>
    <w:rPr>
      <w:rFonts w:cs="Arial"/>
      <w:szCs w:val="18"/>
    </w:rPr>
  </w:style>
  <w:style w:type="paragraph" w:customStyle="1" w:styleId="CopyrightText">
    <w:name w:val="Copyright Text"/>
    <w:basedOn w:val="BodyText"/>
    <w:rsid w:val="00DF4E7E"/>
    <w:rPr>
      <w:sz w:val="18"/>
    </w:rPr>
  </w:style>
  <w:style w:type="paragraph" w:customStyle="1" w:styleId="BodySmallRight">
    <w:name w:val="Body Small Right"/>
    <w:basedOn w:val="BodyTextRight"/>
    <w:rsid w:val="00DF4E7E"/>
    <w:rPr>
      <w:sz w:val="18"/>
      <w:szCs w:val="18"/>
    </w:rPr>
  </w:style>
  <w:style w:type="paragraph" w:customStyle="1" w:styleId="MarginEdition">
    <w:name w:val="Margin Edition"/>
    <w:basedOn w:val="MarginNote"/>
    <w:rsid w:val="00DF4E7E"/>
    <w:pPr>
      <w:spacing w:before="0" w:after="0"/>
    </w:pPr>
    <w:rPr>
      <w:rFonts w:ascii="Times New Roman" w:hAnsi="Times New Roman"/>
      <w:color w:val="999999"/>
    </w:rPr>
  </w:style>
  <w:style w:type="paragraph" w:customStyle="1" w:styleId="Spacer">
    <w:name w:val="Spacer"/>
    <w:basedOn w:val="Normal"/>
    <w:rsid w:val="00DF4E7E"/>
    <w:rPr>
      <w:sz w:val="2"/>
      <w:szCs w:val="2"/>
    </w:rPr>
  </w:style>
  <w:style w:type="character" w:customStyle="1" w:styleId="Small">
    <w:name w:val="Small"/>
    <w:basedOn w:val="DefaultParagraphFont"/>
    <w:rsid w:val="00DF4E7E"/>
    <w:rPr>
      <w:sz w:val="16"/>
    </w:rPr>
  </w:style>
  <w:style w:type="paragraph" w:customStyle="1" w:styleId="WideTable">
    <w:name w:val="Wide Table"/>
    <w:basedOn w:val="Normal"/>
    <w:rsid w:val="00DF4E7E"/>
    <w:pPr>
      <w:ind w:left="-1418"/>
    </w:pPr>
    <w:rPr>
      <w:sz w:val="2"/>
      <w:szCs w:val="2"/>
    </w:rPr>
  </w:style>
  <w:style w:type="character" w:styleId="PageNumber">
    <w:name w:val="page number"/>
    <w:basedOn w:val="DefaultParagraphFont"/>
    <w:rsid w:val="00DF4E7E"/>
  </w:style>
  <w:style w:type="paragraph" w:styleId="Quote">
    <w:name w:val="Quote"/>
    <w:basedOn w:val="Heading1"/>
    <w:link w:val="QuoteChar"/>
    <w:qFormat/>
    <w:rsid w:val="00DF4E7E"/>
    <w:rPr>
      <w:b w:val="0"/>
      <w:sz w:val="72"/>
      <w:szCs w:val="72"/>
      <w:lang w:val="en-NZ"/>
    </w:rPr>
  </w:style>
  <w:style w:type="character" w:customStyle="1" w:styleId="QuoteChar">
    <w:name w:val="Quote Char"/>
    <w:basedOn w:val="DefaultParagraphFont"/>
    <w:link w:val="Quote"/>
    <w:rsid w:val="00DF4E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E7E"/>
    <w:pPr>
      <w:pageBreakBefore/>
    </w:pPr>
  </w:style>
  <w:style w:type="paragraph" w:customStyle="1" w:styleId="Border">
    <w:name w:val="Border"/>
    <w:basedOn w:val="Normal"/>
    <w:qFormat/>
    <w:rsid w:val="00DF4E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E7E"/>
    <w:rPr>
      <w:b/>
      <w:bCs/>
      <w:i/>
      <w:iCs/>
      <w:color w:val="auto"/>
    </w:rPr>
  </w:style>
  <w:style w:type="paragraph" w:styleId="IntenseQuote">
    <w:name w:val="Intense Quote"/>
    <w:basedOn w:val="Normal"/>
    <w:next w:val="Normal"/>
    <w:link w:val="IntenseQuoteChar"/>
    <w:uiPriority w:val="30"/>
    <w:qFormat/>
    <w:rsid w:val="00DF4E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E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E7E"/>
    <w:rPr>
      <w:smallCaps/>
      <w:color w:val="auto"/>
      <w:u w:val="single"/>
    </w:rPr>
  </w:style>
  <w:style w:type="character" w:styleId="IntenseReference">
    <w:name w:val="Intense Reference"/>
    <w:basedOn w:val="DefaultParagraphFont"/>
    <w:uiPriority w:val="32"/>
    <w:qFormat/>
    <w:rsid w:val="00DF4E7E"/>
    <w:rPr>
      <w:b/>
      <w:bCs/>
      <w:smallCaps/>
      <w:color w:val="auto"/>
      <w:spacing w:val="5"/>
      <w:u w:val="single"/>
    </w:rPr>
  </w:style>
  <w:style w:type="paragraph" w:customStyle="1" w:styleId="2ColumnHeading">
    <w:name w:val="2Column Heading"/>
    <w:basedOn w:val="BodyText"/>
    <w:qFormat/>
    <w:rsid w:val="00DF4E7E"/>
    <w:pPr>
      <w:spacing w:after="60"/>
      <w:ind w:left="-2268"/>
    </w:pPr>
    <w:rPr>
      <w:b/>
    </w:rPr>
  </w:style>
  <w:style w:type="paragraph" w:customStyle="1" w:styleId="Heading1TOC">
    <w:name w:val="Heading1 TOC"/>
    <w:basedOn w:val="Normal"/>
    <w:qFormat/>
    <w:rsid w:val="00DF4E7E"/>
    <w:pPr>
      <w:spacing w:before="240" w:after="120"/>
    </w:pPr>
    <w:rPr>
      <w:rFonts w:ascii="Times New Roman" w:hAnsi="Times New Roman"/>
      <w:b/>
      <w:sz w:val="32"/>
    </w:rPr>
  </w:style>
  <w:style w:type="paragraph" w:customStyle="1" w:styleId="Heading2TOC">
    <w:name w:val="Heading2 TOC"/>
    <w:basedOn w:val="Normal"/>
    <w:qFormat/>
    <w:rsid w:val="00DF4E7E"/>
    <w:pPr>
      <w:spacing w:before="240" w:after="60"/>
    </w:pPr>
    <w:rPr>
      <w:rFonts w:ascii="Times New Roman" w:hAnsi="Times New Roman"/>
      <w:b/>
      <w:sz w:val="28"/>
    </w:rPr>
  </w:style>
  <w:style w:type="character" w:customStyle="1" w:styleId="Underline">
    <w:name w:val="Underline"/>
    <w:basedOn w:val="DefaultParagraphFont"/>
    <w:qFormat/>
    <w:rsid w:val="00DF4E7E"/>
    <w:rPr>
      <w:u w:val="single"/>
    </w:rPr>
  </w:style>
  <w:style w:type="character" w:customStyle="1" w:styleId="BoldandItalics">
    <w:name w:val="Bold and Italics"/>
    <w:qFormat/>
    <w:rsid w:val="00DF4E7E"/>
    <w:rPr>
      <w:b/>
      <w:i/>
      <w:u w:val="none"/>
    </w:rPr>
  </w:style>
  <w:style w:type="paragraph" w:styleId="BalloonText">
    <w:name w:val="Balloon Text"/>
    <w:basedOn w:val="Normal"/>
    <w:link w:val="BalloonTextChar"/>
    <w:rsid w:val="00DF4E7E"/>
    <w:rPr>
      <w:rFonts w:ascii="Tahoma" w:hAnsi="Tahoma" w:cs="Tahoma"/>
      <w:sz w:val="16"/>
      <w:szCs w:val="16"/>
    </w:rPr>
  </w:style>
  <w:style w:type="character" w:customStyle="1" w:styleId="BalloonTextChar">
    <w:name w:val="Balloon Text Char"/>
    <w:basedOn w:val="DefaultParagraphFont"/>
    <w:link w:val="BalloonText"/>
    <w:rsid w:val="00DF4E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E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E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E7E"/>
    <w:rPr>
      <w:b/>
      <w:color w:val="660033"/>
      <w:spacing w:val="0"/>
    </w:rPr>
  </w:style>
  <w:style w:type="paragraph" w:customStyle="1" w:styleId="Nameditemlist">
    <w:name w:val="Named item list"/>
    <w:basedOn w:val="BodyText"/>
    <w:qFormat/>
    <w:rsid w:val="00DF4E7E"/>
    <w:pPr>
      <w:tabs>
        <w:tab w:val="left" w:pos="2835"/>
      </w:tabs>
      <w:ind w:left="2835" w:hanging="2835"/>
    </w:pPr>
  </w:style>
  <w:style w:type="paragraph" w:customStyle="1" w:styleId="BodyTextnopadding">
    <w:name w:val="Body Text no padding"/>
    <w:basedOn w:val="BodyText"/>
    <w:qFormat/>
    <w:rsid w:val="00DF4E7E"/>
    <w:pPr>
      <w:spacing w:before="0" w:after="0"/>
    </w:pPr>
  </w:style>
  <w:style w:type="paragraph" w:customStyle="1" w:styleId="BodyTextBold">
    <w:name w:val="Body Text Bold"/>
    <w:basedOn w:val="BodyText"/>
    <w:qFormat/>
    <w:rsid w:val="00DF4E7E"/>
    <w:rPr>
      <w:b/>
    </w:rPr>
  </w:style>
  <w:style w:type="character" w:styleId="Hyperlink">
    <w:name w:val="Hyperlink"/>
    <w:basedOn w:val="DefaultParagraphFont"/>
    <w:uiPriority w:val="99"/>
    <w:unhideWhenUsed/>
    <w:rsid w:val="00F514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8609</Characters>
  <Application>Microsoft Office Word</Application>
  <DocSecurity>0</DocSecurity>
  <Lines>239</Lines>
  <Paragraphs>164</Paragraphs>
  <ScaleCrop>false</ScaleCrop>
  <Company>Author-it Software Corporation Ltd.</Company>
  <LinksUpToDate>false</LinksUpToDate>
  <CharactersWithSpaces>9858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PSPLAN011 Take notes for Deaf, hard of hearing and Deafblind people</dc:title>
  <dc:subject>Approved</dc:subject>
  <dc:creator>Public Skills Australia</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