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53F" w:rsidP="00C955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PSPINV002 Conduct an investigation</w:t>
      </w:r>
      <w:r>
        <w:fldChar w:fldCharType="end"/>
      </w:r>
    </w:p>
    <w:p w:rsidR="00C9553F" w:rsidP="00C9553F">
      <w:pPr>
        <w:pStyle w:val="Version"/>
        <w:sectPr w:rsidSect="00C65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83A" w:rsidP="00C6583A">
      <w:pPr>
        <w:pStyle w:val="SuperHeading"/>
      </w:pPr>
      <w:r w:rsidRPr="00C6583A">
        <w:t>PSPINV002 Conduct an investigation</w:t>
      </w:r>
    </w:p>
    <w:p w:rsidR="00000000" w:rsidRPr="00C6583A" w:rsidP="00C6583A">
      <w:pPr>
        <w:pStyle w:val="Heading1"/>
      </w:pPr>
      <w:bookmarkStart w:id="1" w:name="O_823270"/>
      <w:bookmarkEnd w:id="1"/>
      <w:r w:rsidRPr="00C658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95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3A">
            <w:pPr>
              <w:pStyle w:val="TableHeading"/>
              <w:rPr>
                <w:lang w:val="en-NZ"/>
              </w:rPr>
            </w:pPr>
            <w:r w:rsidRPr="00C6583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3A">
            <w:pPr>
              <w:pStyle w:val="TableHeading"/>
              <w:rPr>
                <w:lang w:val="en-NZ"/>
              </w:rPr>
            </w:pPr>
            <w:r w:rsidRPr="00C6583A">
              <w:t>Comments</w:t>
            </w:r>
          </w:p>
        </w:tc>
      </w:tr>
      <w:tr w:rsidTr="00C95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3A">
            <w:pPr>
              <w:pStyle w:val="BodyText"/>
              <w:rPr>
                <w:lang w:val="en-NZ"/>
              </w:rPr>
            </w:pPr>
            <w:r w:rsidRPr="00C6583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83A" w:rsidP="00C6583A">
            <w:pPr>
              <w:pStyle w:val="BodyText"/>
            </w:pPr>
            <w:r w:rsidRPr="00C6583A">
              <w:t xml:space="preserve">This unit was released in PSP Public Sector Training Package release 1.0 and meets the Standards for Training Packages.  </w:t>
            </w:r>
          </w:p>
        </w:tc>
      </w:tr>
    </w:tbl>
    <w:p w:rsidR="00000000" w:rsidRPr="00C6583A" w:rsidP="00C6583A">
      <w:pPr>
        <w:pStyle w:val="BodyText"/>
      </w:pPr>
    </w:p>
    <w:p w:rsidR="00000000" w:rsidRPr="00C6583A" w:rsidP="00C6583A">
      <w:pPr>
        <w:pStyle w:val="AllowPageBreak"/>
      </w:pPr>
    </w:p>
    <w:p w:rsidR="00000000" w:rsidRPr="00C6583A" w:rsidP="00C6583A">
      <w:pPr>
        <w:pStyle w:val="Heading1"/>
      </w:pPr>
      <w:bookmarkStart w:id="2" w:name="O_823271"/>
      <w:bookmarkEnd w:id="2"/>
      <w:r w:rsidRPr="00C6583A">
        <w:t>Application</w:t>
      </w:r>
    </w:p>
    <w:p w:rsidR="00000000" w:rsidRPr="00C6583A" w:rsidP="00C9553F">
      <w:pPr>
        <w:pStyle w:val="BodyText"/>
      </w:pPr>
      <w:r w:rsidRPr="00C6583A">
        <w:t>This unit describes the skills required to conduct an investig</w:t>
      </w:r>
      <w:r w:rsidRPr="00C6583A">
        <w:t>ation under commonwealth and/or jurisdictional law, in accordance with an established investigation plan. It includes gathering and managing evidence, identifying persons of interest, reviewing and reporting on progress and briefing/debriefing relevant per</w:t>
      </w:r>
      <w:r w:rsidRPr="00C6583A">
        <w:t>sonnel.</w:t>
      </w:r>
    </w:p>
    <w:p w:rsidR="00000000" w:rsidRPr="00C6583A" w:rsidP="00C9553F">
      <w:pPr>
        <w:pStyle w:val="BodyText"/>
      </w:pPr>
      <w:r w:rsidRPr="00C6583A">
        <w:t>This unit applies to those working in a range of regulatory work environments.</w:t>
      </w:r>
    </w:p>
    <w:p w:rsidR="00000000" w:rsidRPr="00C6583A" w:rsidP="00C9553F">
      <w:pPr>
        <w:pStyle w:val="BodyText"/>
      </w:pPr>
      <w:r w:rsidRPr="00C6583A">
        <w:t>The skills and knowledge described in this unit must be applied within the legislative, regulatory and policy environment in which they are carried out. Organisational</w:t>
      </w:r>
      <w:r w:rsidRPr="00C6583A">
        <w:t xml:space="preserve"> policies and procedures must be consulted and adhered to, particularly those related to WHS and environment in the context of investigations.</w:t>
      </w:r>
    </w:p>
    <w:p w:rsidR="00000000" w:rsidRPr="00C6583A" w:rsidP="00C9553F">
      <w:pPr>
        <w:pStyle w:val="BodyText"/>
      </w:pPr>
      <w:r w:rsidRPr="00C6583A">
        <w:t>Those undertaking this unit would work independently using support from a range of established resources to perf</w:t>
      </w:r>
      <w:r w:rsidRPr="00C6583A">
        <w:t>orm complex tasks in a range of contexts, including some that are unfamiliar and/or unpredictable.</w:t>
      </w:r>
    </w:p>
    <w:p w:rsidR="00C9553F" w:rsidP="00C9553F">
      <w:pPr>
        <w:pStyle w:val="BodyText"/>
      </w:pPr>
      <w:r w:rsidRPr="00C6583A">
        <w:t>No licensing, legislative or certification requirements apply to unit at the time of publication.</w:t>
      </w:r>
    </w:p>
    <w:p w:rsidR="00000000" w:rsidRPr="00C6583A" w:rsidP="00C6583A">
      <w:pPr>
        <w:pStyle w:val="Heading1"/>
      </w:pPr>
      <w:bookmarkStart w:id="3" w:name="O_823274"/>
      <w:bookmarkEnd w:id="3"/>
      <w:r w:rsidRPr="00C6583A">
        <w:t>Competency Field</w:t>
      </w:r>
    </w:p>
    <w:p w:rsidR="00000000" w:rsidRPr="00C6583A" w:rsidP="00C9553F">
      <w:pPr>
        <w:pStyle w:val="BodyText"/>
      </w:pPr>
      <w:r w:rsidRPr="00C6583A">
        <w:t>Investigation</w:t>
      </w:r>
    </w:p>
    <w:p w:rsidR="00000000" w:rsidRPr="00C6583A" w:rsidP="00C6583A">
      <w:pPr>
        <w:pStyle w:val="Heading1"/>
      </w:pPr>
      <w:bookmarkStart w:id="4" w:name="O_823276"/>
      <w:bookmarkEnd w:id="4"/>
      <w:r w:rsidRPr="00C658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65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3A">
            <w:pPr>
              <w:pStyle w:val="TableHeading"/>
              <w:rPr>
                <w:lang w:val="en-NZ"/>
              </w:rPr>
            </w:pPr>
            <w:r w:rsidRPr="00C6583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3A">
            <w:pPr>
              <w:pStyle w:val="TableHeading"/>
              <w:rPr>
                <w:lang w:val="en-NZ"/>
              </w:rPr>
            </w:pPr>
            <w:r w:rsidRPr="00C6583A">
              <w:t>PERFORMANCE CRITERIA</w:t>
            </w:r>
          </w:p>
        </w:tc>
      </w:tr>
      <w:tr w:rsidTr="00C65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3A">
            <w:pPr>
              <w:pStyle w:val="BodyText"/>
              <w:rPr>
                <w:lang w:val="en-NZ"/>
              </w:rPr>
            </w:pPr>
            <w:r w:rsidRPr="00C6583A">
              <w:t xml:space="preserve">Elements describe </w:t>
            </w:r>
            <w:r w:rsidRPr="00C6583A">
              <w:t>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3A">
            <w:pPr>
              <w:pStyle w:val="BodyText"/>
              <w:rPr>
                <w:lang w:val="en-NZ"/>
              </w:rPr>
            </w:pPr>
            <w:r w:rsidRPr="00C6583A">
              <w:t xml:space="preserve">Performance criteria describe the performance needed to demonstrate </w:t>
            </w:r>
            <w:r w:rsidRPr="00C6583A">
              <w:t>achievement of the element. Where bold italicised text is used, further in</w:t>
            </w:r>
            <w:r w:rsidRPr="00C6583A">
              <w:t>formation is detailed in the range of conditions section.</w:t>
            </w:r>
          </w:p>
        </w:tc>
      </w:tr>
      <w:tr w:rsidTr="00C65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3A">
            <w:pPr>
              <w:pStyle w:val="List"/>
              <w:rPr>
                <w:lang w:val="en-NZ"/>
              </w:rPr>
            </w:pPr>
            <w:r w:rsidRPr="00C6583A">
              <w:rPr>
                <w:rStyle w:val="SpecialBold"/>
              </w:rPr>
              <w:t>1.</w:t>
            </w:r>
            <w:r w:rsidRPr="00C6583A">
              <w:rPr>
                <w:rStyle w:val="SpecialBold"/>
              </w:rPr>
              <w:tab/>
              <w:t>Locate and record information 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83A" w:rsidP="00C6583A">
            <w:pPr>
              <w:pStyle w:val="List"/>
            </w:pPr>
            <w:r w:rsidRPr="00C6583A">
              <w:t>1.1</w:t>
            </w:r>
            <w:r w:rsidRPr="00C6583A">
              <w:tab/>
              <w:t>Identify subjects and suspects involved in the matter under investigation and record details.</w:t>
            </w:r>
          </w:p>
          <w:p w:rsidR="00000000" w:rsidRPr="00C6583A" w:rsidP="00C6583A">
            <w:pPr>
              <w:pStyle w:val="List"/>
            </w:pPr>
            <w:r w:rsidRPr="00C6583A">
              <w:t>1.2</w:t>
            </w:r>
            <w:r w:rsidRPr="00C6583A">
              <w:tab/>
              <w:t xml:space="preserve">Obtain or verify authority to search, involving other </w:t>
            </w:r>
            <w:r w:rsidRPr="00C6583A">
              <w:t>organisations where necessary.</w:t>
            </w:r>
          </w:p>
          <w:p w:rsidR="00000000" w:rsidRPr="00C6583A" w:rsidP="00C6583A">
            <w:pPr>
              <w:pStyle w:val="List"/>
            </w:pPr>
            <w:r w:rsidRPr="00C6583A">
              <w:t>1.3</w:t>
            </w:r>
            <w:r w:rsidRPr="00C6583A">
              <w:tab/>
              <w:t>Collect and analyse information relevant to the investigation.</w:t>
            </w:r>
          </w:p>
          <w:p w:rsidR="00000000" w:rsidRPr="00C6583A" w:rsidP="00C6583A">
            <w:pPr>
              <w:pStyle w:val="List"/>
            </w:pPr>
            <w:r w:rsidRPr="00C6583A">
              <w:t>1.4</w:t>
            </w:r>
            <w:r w:rsidRPr="00C6583A">
              <w:tab/>
              <w:t>Identify and locate persons relevant to the investigation and eliminate persons who are not.</w:t>
            </w:r>
          </w:p>
          <w:p w:rsidR="00000000" w:rsidRPr="00C6583A" w:rsidP="00C6583A">
            <w:pPr>
              <w:pStyle w:val="List"/>
            </w:pPr>
            <w:r w:rsidRPr="00C6583A">
              <w:t>1.5</w:t>
            </w:r>
            <w:r w:rsidRPr="00C6583A">
              <w:tab/>
              <w:t>Access expert skills and knowledge when necessary to furt</w:t>
            </w:r>
            <w:r w:rsidRPr="00C6583A">
              <w:t>her assist staff in areas where they cannot, or are not authorised, to act.</w:t>
            </w:r>
          </w:p>
          <w:p w:rsidR="00000000" w:rsidP="00C6583A">
            <w:pPr>
              <w:pStyle w:val="List"/>
              <w:rPr>
                <w:lang w:val="en-NZ"/>
              </w:rPr>
            </w:pPr>
            <w:r w:rsidRPr="00C6583A">
              <w:t>1.6</w:t>
            </w:r>
            <w:r w:rsidRPr="00C6583A">
              <w:tab/>
              <w:t>Anticipate likely defences and include evidence to counter these.</w:t>
            </w:r>
          </w:p>
        </w:tc>
      </w:tr>
      <w:tr w:rsidTr="00C65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3A">
            <w:pPr>
              <w:pStyle w:val="List"/>
              <w:rPr>
                <w:lang w:val="en-NZ"/>
              </w:rPr>
            </w:pPr>
            <w:r w:rsidRPr="00C6583A">
              <w:rPr>
                <w:rStyle w:val="SpecialBold"/>
              </w:rPr>
              <w:t>2.</w:t>
            </w:r>
            <w:r w:rsidRPr="00C6583A">
              <w:rPr>
                <w:rStyle w:val="SpecialBold"/>
              </w:rPr>
              <w:tab/>
              <w:t>Collect and manage information and exhibits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83A" w:rsidP="00C6583A">
            <w:pPr>
              <w:pStyle w:val="List"/>
            </w:pPr>
            <w:r w:rsidRPr="00C6583A">
              <w:t>2.1</w:t>
            </w:r>
            <w:r w:rsidRPr="00C6583A">
              <w:tab/>
            </w:r>
            <w:r w:rsidRPr="00C6583A">
              <w:t>Collect, label, record and preserve identified and/or corroboratory evidence for later use in proceedings.</w:t>
            </w:r>
          </w:p>
          <w:p w:rsidR="00000000" w:rsidRPr="00C6583A" w:rsidP="00C6583A">
            <w:pPr>
              <w:pStyle w:val="List"/>
            </w:pPr>
            <w:r w:rsidRPr="00C6583A">
              <w:t>2.2</w:t>
            </w:r>
            <w:r w:rsidRPr="00C6583A">
              <w:tab/>
              <w:t>Identify, secure and manage evidence from incoming information.</w:t>
            </w:r>
          </w:p>
          <w:p w:rsidR="00000000" w:rsidRPr="00C6583A" w:rsidP="00C6583A">
            <w:pPr>
              <w:pStyle w:val="List"/>
            </w:pPr>
            <w:r w:rsidRPr="00C6583A">
              <w:t>2.3</w:t>
            </w:r>
            <w:r w:rsidRPr="00C6583A">
              <w:tab/>
              <w:t>Maintain continuity, security and integrity of exhibits.</w:t>
            </w:r>
          </w:p>
          <w:p w:rsidR="00000000" w:rsidP="00C6583A">
            <w:pPr>
              <w:pStyle w:val="List"/>
              <w:rPr>
                <w:lang w:val="en-NZ"/>
              </w:rPr>
            </w:pPr>
            <w:r w:rsidRPr="00C6583A">
              <w:t>2.4</w:t>
            </w:r>
            <w:r w:rsidRPr="00C6583A">
              <w:tab/>
              <w:t xml:space="preserve">Handle, record, </w:t>
            </w:r>
            <w:r w:rsidRPr="00C6583A">
              <w:t>store and dispose of exhibits.</w:t>
            </w:r>
          </w:p>
        </w:tc>
      </w:tr>
      <w:tr w:rsidTr="00C65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3A">
            <w:pPr>
              <w:pStyle w:val="List"/>
              <w:rPr>
                <w:lang w:val="en-NZ"/>
              </w:rPr>
            </w:pPr>
            <w:r w:rsidRPr="00C6583A">
              <w:rPr>
                <w:rStyle w:val="SpecialBold"/>
              </w:rPr>
              <w:t>3.</w:t>
            </w:r>
            <w:r w:rsidRPr="00C6583A">
              <w:rPr>
                <w:rStyle w:val="SpecialBold"/>
              </w:rPr>
              <w:tab/>
              <w:t>Review and adjust investigation process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83A" w:rsidP="00C6583A">
            <w:pPr>
              <w:pStyle w:val="List"/>
            </w:pPr>
            <w:r w:rsidRPr="00C6583A">
              <w:t>3.1</w:t>
            </w:r>
            <w:r w:rsidRPr="00C6583A">
              <w:tab/>
              <w:t>Monitor and review evidence collection to address gaps and inadequacies.</w:t>
            </w:r>
          </w:p>
          <w:p w:rsidR="00000000" w:rsidRPr="00C6583A" w:rsidP="00C6583A">
            <w:pPr>
              <w:pStyle w:val="List"/>
            </w:pPr>
            <w:r w:rsidRPr="00C6583A">
              <w:t>3.2</w:t>
            </w:r>
            <w:r w:rsidRPr="00C6583A">
              <w:tab/>
              <w:t>Conduct briefings and debriefings of all relevant personnel.</w:t>
            </w:r>
          </w:p>
          <w:p w:rsidR="00000000" w:rsidRPr="00C6583A" w:rsidP="00C6583A">
            <w:pPr>
              <w:pStyle w:val="List"/>
            </w:pPr>
            <w:r w:rsidRPr="00C6583A">
              <w:t>3.3</w:t>
            </w:r>
            <w:r w:rsidRPr="00C6583A">
              <w:tab/>
              <w:t>Conduct investigation with sufficie</w:t>
            </w:r>
            <w:r w:rsidRPr="00C6583A">
              <w:t>nt flexibility to allow for contingencies, modify process of investigation and implement solutions where practicable.</w:t>
            </w:r>
          </w:p>
        </w:tc>
      </w:tr>
    </w:tbl>
    <w:p w:rsidR="00000000" w:rsidRPr="00C6583A" w:rsidP="00C6583A">
      <w:pPr>
        <w:pStyle w:val="BodyText"/>
      </w:pPr>
    </w:p>
    <w:p w:rsidR="00000000" w:rsidRPr="00C6583A" w:rsidP="00C6583A">
      <w:pPr>
        <w:pStyle w:val="AllowPageBreak"/>
      </w:pPr>
    </w:p>
    <w:p w:rsidR="00000000" w:rsidRPr="00C6583A" w:rsidP="00C6583A">
      <w:pPr>
        <w:pStyle w:val="Heading1"/>
      </w:pPr>
      <w:bookmarkStart w:id="5" w:name="O_823277"/>
      <w:bookmarkEnd w:id="5"/>
      <w:r w:rsidRPr="00C6583A">
        <w:t>Foundation Skills</w:t>
      </w:r>
    </w:p>
    <w:p w:rsidR="00000000" w:rsidRPr="00C6583A" w:rsidP="00C9553F">
      <w:pPr>
        <w:pStyle w:val="BodyText"/>
      </w:pPr>
      <w:r w:rsidRPr="00C6583A">
        <w:t>The foundation skills demands of this unit have been mapped for alignment with the Australian Core Sk</w:t>
      </w:r>
      <w:r w:rsidRPr="00C6583A">
        <w:t>ills Framework (ACSF). The following tables outline the performance levels indicated for successful attainment of the unit.</w:t>
      </w:r>
    </w:p>
    <w:p w:rsidR="00000000" w:rsidRPr="00C6583A" w:rsidP="00C6583A">
      <w:pPr>
        <w:pStyle w:val="BodyText"/>
        <w:keepNext/>
      </w:pPr>
    </w:p>
    <w:p w:rsidR="00000000" w:rsidRPr="00C6583A" w:rsidP="00C6583A">
      <w:pPr>
        <w:pStyle w:val="BodyText"/>
      </w:pPr>
      <w:bookmarkStart w:id="6" w:name="O_83716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0.75pt;width:472.5pt">
            <v:imagedata r:id="rId10" o:title=""/>
          </v:shape>
        </w:pict>
      </w:r>
      <w:bookmarkEnd w:id="6"/>
    </w:p>
    <w:p w:rsidR="00000000" w:rsidRPr="00C6583A" w:rsidP="00C6583A">
      <w:pPr>
        <w:pStyle w:val="BodyText"/>
      </w:pPr>
    </w:p>
    <w:p w:rsidR="00000000" w:rsidRPr="00C6583A" w:rsidP="00C9553F">
      <w:pPr>
        <w:pStyle w:val="BodyText"/>
      </w:pPr>
      <w:r w:rsidRPr="00C6583A">
        <w:t>Further</w:t>
      </w:r>
      <w:r w:rsidRPr="00C6583A">
        <w:t xml:space="preserve"> information on ACSF and the foundation skills underpinning this unit can be found in the Foundation Skills Guide on the GSA website.</w:t>
      </w:r>
    </w:p>
    <w:p w:rsidR="00000000" w:rsidRPr="00C6583A" w:rsidP="00C6583A">
      <w:pPr>
        <w:pStyle w:val="Heading1"/>
      </w:pPr>
      <w:bookmarkStart w:id="7" w:name="O_823280"/>
      <w:bookmarkEnd w:id="7"/>
      <w:r w:rsidRPr="00C6583A">
        <w:t>Unit Mapping Information</w:t>
      </w:r>
    </w:p>
    <w:p w:rsidR="00000000" w:rsidRPr="00C6583A" w:rsidP="00C9553F">
      <w:pPr>
        <w:pStyle w:val="BodyText"/>
      </w:pPr>
      <w:r w:rsidRPr="00C6583A">
        <w:t>No equivalent unit.</w:t>
      </w:r>
    </w:p>
    <w:p w:rsidR="00000000" w:rsidRPr="00C6583A" w:rsidP="00C6583A">
      <w:pPr>
        <w:pStyle w:val="Heading1"/>
      </w:pPr>
      <w:bookmarkStart w:id="8" w:name="O_823287"/>
      <w:bookmarkEnd w:id="8"/>
      <w:r w:rsidRPr="00C6583A">
        <w:t>Links</w:t>
      </w:r>
    </w:p>
    <w:p w:rsidR="00000000" w:rsidRPr="00C6583A" w:rsidP="00C9553F">
      <w:pPr>
        <w:pStyle w:val="BodyText"/>
      </w:pPr>
      <w:r w:rsidRPr="00C65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821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583A" w:rsidP="00C9553F">
      <w:pPr>
        <w:pStyle w:val="BodyText"/>
      </w:pPr>
      <w:r w:rsidRPr="00C65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821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583A" w:rsidP="00C9553F">
      <w:pPr>
        <w:pStyle w:val="BodyText"/>
      </w:pPr>
      <w:r w:rsidRPr="00C65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821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583A" w:rsidP="00C9553F">
      <w:pPr>
        <w:pStyle w:val="BodyText"/>
      </w:pPr>
      <w:r w:rsidRPr="00C65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821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583A" w:rsidP="00C6583A"/>
    <w:sectPr w:rsidSect="00C6583A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3A" w:rsidRPr="00C9553F" w:rsidP="00C955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53F" w:rsidP="00C65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53F" w:rsidP="00C65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553F" w:rsidP="00C65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5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83A" w:rsidRPr="00C9553F" w:rsidP="00C955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53F" w:rsidRPr="002D2AF8" w:rsidP="00C65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PSPINV002 Conduct an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9553F" w:rsidP="00C65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83A"/>
  </w:style>
  <w:style w:type="character" w:customStyle="1" w:styleId="Heading1Char">
    <w:name w:val="Heading 1 Char"/>
    <w:basedOn w:val="DefaultParagraphFont"/>
    <w:link w:val="Heading1"/>
    <w:rsid w:val="00C65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8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583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6583A"/>
    <w:rPr>
      <w:b/>
      <w:spacing w:val="0"/>
    </w:rPr>
  </w:style>
  <w:style w:type="paragraph" w:customStyle="1" w:styleId="SuperHeading">
    <w:name w:val="SuperHeading"/>
    <w:basedOn w:val="Normal"/>
    <w:rsid w:val="00C65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58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5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83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658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5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8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8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83A"/>
    <w:rPr>
      <w:i/>
    </w:rPr>
  </w:style>
  <w:style w:type="paragraph" w:styleId="Caption">
    <w:name w:val="caption"/>
    <w:basedOn w:val="BodyText"/>
    <w:next w:val="Normal"/>
    <w:qFormat/>
    <w:rsid w:val="00C65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83A"/>
  </w:style>
  <w:style w:type="paragraph" w:styleId="TableofFigures">
    <w:name w:val="table of figures"/>
    <w:basedOn w:val="Normal"/>
    <w:next w:val="Normal"/>
    <w:semiHidden/>
    <w:rsid w:val="00C65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8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583A"/>
    <w:rPr>
      <w:rFonts w:ascii="Wingdings" w:hAnsi="Wingdings"/>
    </w:rPr>
  </w:style>
  <w:style w:type="character" w:customStyle="1" w:styleId="HotSpot">
    <w:name w:val="HotSpot"/>
    <w:rsid w:val="00C6583A"/>
    <w:rPr>
      <w:color w:val="0033CC"/>
      <w:u w:val="none"/>
    </w:rPr>
  </w:style>
  <w:style w:type="paragraph" w:customStyle="1" w:styleId="BodyTextRight">
    <w:name w:val="Body Text Right"/>
    <w:basedOn w:val="BodyText"/>
    <w:rsid w:val="00C65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8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83A"/>
    <w:rPr>
      <w:sz w:val="32"/>
    </w:rPr>
  </w:style>
  <w:style w:type="paragraph" w:customStyle="1" w:styleId="HeadingProcedure">
    <w:name w:val="Heading Procedure"/>
    <w:basedOn w:val="HeadingBase"/>
    <w:next w:val="Normal"/>
    <w:rsid w:val="00C65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83A"/>
    <w:pPr>
      <w:spacing w:before="60" w:after="60"/>
    </w:pPr>
  </w:style>
  <w:style w:type="paragraph" w:styleId="ListContinue">
    <w:name w:val="List Continue"/>
    <w:basedOn w:val="List"/>
    <w:rsid w:val="00C6583A"/>
    <w:pPr>
      <w:ind w:firstLine="0"/>
    </w:pPr>
  </w:style>
  <w:style w:type="paragraph" w:customStyle="1" w:styleId="ListNote">
    <w:name w:val="List Note"/>
    <w:basedOn w:val="List"/>
    <w:rsid w:val="00C65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83A"/>
    <w:rPr>
      <w:rFonts w:ascii="Courier New" w:hAnsi="Courier New"/>
    </w:rPr>
  </w:style>
  <w:style w:type="paragraph" w:customStyle="1" w:styleId="NoteBullet">
    <w:name w:val="Note Bullet"/>
    <w:basedOn w:val="Note"/>
    <w:rsid w:val="00C65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8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5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83A"/>
    <w:rPr>
      <w:b/>
      <w:smallCaps/>
    </w:rPr>
  </w:style>
  <w:style w:type="paragraph" w:customStyle="1" w:styleId="TableListNumber">
    <w:name w:val="Table List Number"/>
    <w:basedOn w:val="ListNumber"/>
    <w:rsid w:val="00C65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83A"/>
    <w:pPr>
      <w:numPr>
        <w:numId w:val="7"/>
      </w:numPr>
    </w:pPr>
  </w:style>
  <w:style w:type="paragraph" w:customStyle="1" w:styleId="ListAlpha2">
    <w:name w:val="List Alpha 2"/>
    <w:basedOn w:val="List2"/>
    <w:rsid w:val="00C6583A"/>
    <w:pPr>
      <w:numPr>
        <w:numId w:val="6"/>
      </w:numPr>
    </w:pPr>
  </w:style>
  <w:style w:type="paragraph" w:styleId="List2">
    <w:name w:val="List 2"/>
    <w:basedOn w:val="BodyText"/>
    <w:rsid w:val="00C65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8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8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583A"/>
    <w:pPr>
      <w:numPr>
        <w:numId w:val="2"/>
      </w:numPr>
    </w:pPr>
  </w:style>
  <w:style w:type="paragraph" w:styleId="ListContinue2">
    <w:name w:val="List Continue 2"/>
    <w:basedOn w:val="List2"/>
    <w:rsid w:val="00C6583A"/>
    <w:pPr>
      <w:ind w:firstLine="0"/>
    </w:pPr>
  </w:style>
  <w:style w:type="paragraph" w:styleId="ListContinue3">
    <w:name w:val="List Continue 3"/>
    <w:basedOn w:val="List3"/>
    <w:rsid w:val="00C6583A"/>
    <w:pPr>
      <w:ind w:left="1021" w:firstLine="0"/>
    </w:pPr>
  </w:style>
  <w:style w:type="paragraph" w:styleId="ListContinue4">
    <w:name w:val="List Continue 4"/>
    <w:basedOn w:val="List4"/>
    <w:rsid w:val="00C6583A"/>
    <w:pPr>
      <w:ind w:firstLine="0"/>
    </w:pPr>
  </w:style>
  <w:style w:type="paragraph" w:styleId="ListContinue5">
    <w:name w:val="List Continue 5"/>
    <w:basedOn w:val="List5"/>
    <w:rsid w:val="00C6583A"/>
    <w:pPr>
      <w:ind w:firstLine="0"/>
    </w:pPr>
  </w:style>
  <w:style w:type="paragraph" w:styleId="ListNumber3">
    <w:name w:val="List Number 3"/>
    <w:basedOn w:val="List3"/>
    <w:rsid w:val="00C6583A"/>
    <w:pPr>
      <w:numPr>
        <w:numId w:val="3"/>
      </w:numPr>
    </w:pPr>
  </w:style>
  <w:style w:type="paragraph" w:styleId="ListNumber4">
    <w:name w:val="List Number 4"/>
    <w:basedOn w:val="List4"/>
    <w:rsid w:val="00C6583A"/>
    <w:pPr>
      <w:numPr>
        <w:numId w:val="4"/>
      </w:numPr>
    </w:pPr>
  </w:style>
  <w:style w:type="paragraph" w:styleId="ListNumber5">
    <w:name w:val="List Number 5"/>
    <w:basedOn w:val="List5"/>
    <w:rsid w:val="00C6583A"/>
    <w:pPr>
      <w:numPr>
        <w:numId w:val="5"/>
      </w:numPr>
    </w:pPr>
  </w:style>
  <w:style w:type="paragraph" w:styleId="BlockText">
    <w:name w:val="Block Text"/>
    <w:basedOn w:val="Normal"/>
    <w:rsid w:val="00C65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83A"/>
    <w:rPr>
      <w:sz w:val="16"/>
      <w:vertAlign w:val="superscript"/>
    </w:rPr>
  </w:style>
  <w:style w:type="character" w:customStyle="1" w:styleId="Symbols">
    <w:name w:val="Symbols"/>
    <w:basedOn w:val="DefaultParagraphFont"/>
    <w:rsid w:val="00C6583A"/>
    <w:rPr>
      <w:rFonts w:ascii="Symbol" w:hAnsi="Symbol"/>
    </w:rPr>
  </w:style>
  <w:style w:type="character" w:customStyle="1" w:styleId="MenuOptions">
    <w:name w:val="Menu Options"/>
    <w:basedOn w:val="DefaultParagraphFont"/>
    <w:rsid w:val="00C65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83A"/>
    <w:rPr>
      <w:b/>
    </w:rPr>
  </w:style>
  <w:style w:type="character" w:customStyle="1" w:styleId="Underlined">
    <w:name w:val="Underlined"/>
    <w:basedOn w:val="DefaultParagraphFont"/>
    <w:rsid w:val="00C6583A"/>
    <w:rPr>
      <w:u w:val="single"/>
    </w:rPr>
  </w:style>
  <w:style w:type="paragraph" w:customStyle="1" w:styleId="TableBodyTextRight">
    <w:name w:val="Table Body Text Right"/>
    <w:basedOn w:val="TableBodyText"/>
    <w:rsid w:val="00C65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83A"/>
    <w:rPr>
      <w:sz w:val="18"/>
    </w:rPr>
  </w:style>
  <w:style w:type="paragraph" w:customStyle="1" w:styleId="BodySmallRight">
    <w:name w:val="Body Small Right"/>
    <w:basedOn w:val="BodyTextRight"/>
    <w:rsid w:val="00C6583A"/>
    <w:rPr>
      <w:sz w:val="18"/>
      <w:szCs w:val="18"/>
    </w:rPr>
  </w:style>
  <w:style w:type="paragraph" w:customStyle="1" w:styleId="MarginEdition">
    <w:name w:val="Margin Edition"/>
    <w:basedOn w:val="MarginNote"/>
    <w:rsid w:val="00C65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83A"/>
    <w:rPr>
      <w:sz w:val="2"/>
      <w:szCs w:val="2"/>
    </w:rPr>
  </w:style>
  <w:style w:type="character" w:customStyle="1" w:styleId="Small">
    <w:name w:val="Small"/>
    <w:basedOn w:val="DefaultParagraphFont"/>
    <w:rsid w:val="00C6583A"/>
    <w:rPr>
      <w:sz w:val="16"/>
    </w:rPr>
  </w:style>
  <w:style w:type="paragraph" w:customStyle="1" w:styleId="WideTable">
    <w:name w:val="Wide Table"/>
    <w:basedOn w:val="Normal"/>
    <w:rsid w:val="00C65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83A"/>
  </w:style>
  <w:style w:type="paragraph" w:styleId="Quote">
    <w:name w:val="Quote"/>
    <w:basedOn w:val="Heading1"/>
    <w:link w:val="QuoteChar"/>
    <w:qFormat/>
    <w:rsid w:val="00C65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83A"/>
    <w:pPr>
      <w:pageBreakBefore/>
    </w:pPr>
  </w:style>
  <w:style w:type="paragraph" w:customStyle="1" w:styleId="Border">
    <w:name w:val="Border"/>
    <w:basedOn w:val="Normal"/>
    <w:qFormat/>
    <w:rsid w:val="00C65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83A"/>
    <w:rPr>
      <w:u w:val="single"/>
    </w:rPr>
  </w:style>
  <w:style w:type="character" w:customStyle="1" w:styleId="BoldandItalics">
    <w:name w:val="Bold and Italics"/>
    <w:qFormat/>
    <w:rsid w:val="00C6583A"/>
    <w:rPr>
      <w:b/>
      <w:i/>
      <w:u w:val="none"/>
    </w:rPr>
  </w:style>
  <w:style w:type="paragraph" w:styleId="BalloonText">
    <w:name w:val="Balloon Text"/>
    <w:basedOn w:val="Normal"/>
    <w:link w:val="BalloonTextChar"/>
    <w:rsid w:val="00C65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83A"/>
    <w:pPr>
      <w:spacing w:before="0" w:after="0"/>
    </w:pPr>
  </w:style>
  <w:style w:type="paragraph" w:customStyle="1" w:styleId="BodyTextBold">
    <w:name w:val="Body Text Bold"/>
    <w:basedOn w:val="BodyText"/>
    <w:qFormat/>
    <w:rsid w:val="00C6583A"/>
    <w:rPr>
      <w:b/>
    </w:rPr>
  </w:style>
  <w:style w:type="character" w:styleId="Hyperlink">
    <w:name w:val="Hyperlink"/>
    <w:basedOn w:val="DefaultParagraphFont"/>
    <w:uiPriority w:val="99"/>
    <w:unhideWhenUsed/>
    <w:rsid w:val="00C955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3829</Characters>
  <Application>Microsoft Office Word</Application>
  <DocSecurity>0</DocSecurity>
  <Lines>116</Lines>
  <Paragraphs>60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PSPINV002 Conduct an investigation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