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662" w:rsidP="00E51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PSPINM011 Determine liability and negotiate settlements</w:t>
      </w:r>
      <w:r>
        <w:fldChar w:fldCharType="end"/>
      </w:r>
    </w:p>
    <w:p w:rsidR="00E51662" w:rsidP="00E51662">
      <w:pPr>
        <w:pStyle w:val="Version"/>
        <w:sectPr w:rsidSect="00AB6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574" w:rsidP="00AB6574">
      <w:pPr>
        <w:pStyle w:val="SuperHeading"/>
      </w:pPr>
      <w:r w:rsidRPr="00AB6574">
        <w:t>PSPINM011 Determine liability and negotiate settlements</w:t>
      </w:r>
    </w:p>
    <w:p w:rsidR="00000000" w:rsidRPr="00AB6574" w:rsidP="00AB6574">
      <w:pPr>
        <w:pStyle w:val="Heading1"/>
      </w:pPr>
      <w:bookmarkStart w:id="1" w:name="O_822277"/>
      <w:bookmarkEnd w:id="1"/>
      <w:r w:rsidRPr="00AB65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51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TableHeading"/>
              <w:rPr>
                <w:lang w:val="en-NZ"/>
              </w:rPr>
            </w:pPr>
            <w:r w:rsidRPr="00AB657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TableHeading"/>
              <w:rPr>
                <w:lang w:val="en-NZ"/>
              </w:rPr>
            </w:pPr>
            <w:r w:rsidRPr="00AB6574">
              <w:t>Comments</w:t>
            </w:r>
          </w:p>
        </w:tc>
      </w:tr>
      <w:tr w:rsidTr="00E51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BodyText"/>
              <w:rPr>
                <w:lang w:val="en-NZ"/>
              </w:rPr>
            </w:pPr>
            <w:r w:rsidRPr="00AB657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574" w:rsidP="00AB6574">
            <w:pPr>
              <w:pStyle w:val="BodyText"/>
            </w:pPr>
            <w:r w:rsidRPr="00AB6574">
              <w:t xml:space="preserve">This unit was released in PSP Public Sector Training Package release 1.0 and meets the Standards for Training Packages. </w:t>
            </w:r>
          </w:p>
          <w:p w:rsidR="00000000" w:rsidRPr="00AB6574" w:rsidP="00AB6574">
            <w:pPr>
              <w:pStyle w:val="BodyText"/>
            </w:pPr>
          </w:p>
          <w:p w:rsidR="00000000" w:rsidRPr="00AB6574" w:rsidP="00AB6574">
            <w:pPr>
              <w:pStyle w:val="BodyText"/>
            </w:pPr>
            <w:r w:rsidRPr="00AB6574">
              <w:t>This unit supersedes and is equivalent to PSPIM501A Determine liability and n</w:t>
            </w:r>
            <w:r w:rsidRPr="00AB6574">
              <w:t>egotiate settlements.</w:t>
            </w:r>
          </w:p>
          <w:p w:rsidR="00000000" w:rsidRPr="00AB6574" w:rsidP="00AB6574">
            <w:pPr>
              <w:pStyle w:val="BodyText"/>
            </w:pPr>
          </w:p>
          <w:p w:rsidR="00000000" w:rsidRPr="00AB6574" w:rsidP="00AB6574">
            <w:pPr>
              <w:pStyle w:val="ListBullet"/>
            </w:pPr>
            <w:r w:rsidRPr="00AB6574">
              <w:t>Unit code updated</w:t>
            </w:r>
          </w:p>
          <w:p w:rsidR="00000000" w:rsidRPr="00AB6574" w:rsidP="00AB6574">
            <w:pPr>
              <w:pStyle w:val="ListBullet"/>
            </w:pPr>
            <w:r w:rsidRPr="00AB6574">
              <w:t>Content and formatting updated to comply with new standards</w:t>
            </w:r>
          </w:p>
          <w:p w:rsidR="00000000" w:rsidRPr="00AB6574" w:rsidP="00AB6574">
            <w:pPr>
              <w:pStyle w:val="ListBullet"/>
            </w:pPr>
            <w:r w:rsidRPr="00AB6574">
              <w:t>All PC transitioned from passive to active voice</w:t>
            </w:r>
          </w:p>
        </w:tc>
      </w:tr>
    </w:tbl>
    <w:p w:rsidR="00000000" w:rsidRPr="00AB6574" w:rsidP="00AB6574">
      <w:pPr>
        <w:pStyle w:val="BodyText"/>
      </w:pPr>
    </w:p>
    <w:p w:rsidR="00000000" w:rsidRPr="00AB6574" w:rsidP="00AB6574">
      <w:pPr>
        <w:pStyle w:val="AllowPageBreak"/>
      </w:pPr>
    </w:p>
    <w:p w:rsidR="00000000" w:rsidRPr="00AB6574" w:rsidP="00AB6574">
      <w:pPr>
        <w:pStyle w:val="Heading1"/>
      </w:pPr>
      <w:bookmarkStart w:id="2" w:name="O_822278"/>
      <w:bookmarkEnd w:id="2"/>
      <w:r w:rsidRPr="00AB6574">
        <w:t>Application</w:t>
      </w:r>
    </w:p>
    <w:p w:rsidR="00000000" w:rsidRPr="00AB6574" w:rsidP="00E51662">
      <w:pPr>
        <w:pStyle w:val="BodyText"/>
      </w:pPr>
      <w:r w:rsidRPr="00AB6574">
        <w:t>This unit describes the skills required to determine liability relating to injured workers and negotiations to settle future liabilities. It includes estimating liability, determining settlement options and negotiating settlements.</w:t>
      </w:r>
    </w:p>
    <w:p w:rsidR="00000000" w:rsidRPr="00AB6574" w:rsidP="00E51662">
      <w:pPr>
        <w:pStyle w:val="BodyText"/>
      </w:pPr>
      <w:r w:rsidRPr="00AB6574">
        <w:t>This unit applies to th</w:t>
      </w:r>
      <w:r w:rsidRPr="00AB6574">
        <w:t>ose working in public sector roles but may be applied to anyone working in a similar organisational context.</w:t>
      </w:r>
    </w:p>
    <w:p w:rsidR="00000000" w:rsidRPr="00AB6574" w:rsidP="00E51662">
      <w:pPr>
        <w:pStyle w:val="BodyText"/>
      </w:pPr>
      <w:r w:rsidRPr="00AB6574">
        <w:t>The skills and knowledge described in this unit must be applied within the legislative, regulatory and policy environment in which they are carrie</w:t>
      </w:r>
      <w:r w:rsidRPr="00AB6574">
        <w:t>d out. Organisational policies and procedures must be consulted and adhered to.</w:t>
      </w:r>
    </w:p>
    <w:p w:rsidR="00000000" w:rsidRPr="00AB6574" w:rsidP="00E51662">
      <w:pPr>
        <w:pStyle w:val="BodyText"/>
      </w:pPr>
      <w:r w:rsidRPr="00AB6574">
        <w:t>Those undertaking this unit would work independently while performing complex tasks in a range of familiar contexts.</w:t>
      </w:r>
    </w:p>
    <w:p w:rsidR="00E51662" w:rsidP="00E51662">
      <w:pPr>
        <w:pStyle w:val="BodyText"/>
      </w:pPr>
      <w:r w:rsidRPr="00AB6574">
        <w:t>No licensing, legislative or certification requirements a</w:t>
      </w:r>
      <w:r w:rsidRPr="00AB6574">
        <w:t>pply to unit at the time of publication.</w:t>
      </w:r>
    </w:p>
    <w:p w:rsidR="00000000" w:rsidRPr="00AB6574" w:rsidP="00AB6574">
      <w:pPr>
        <w:pStyle w:val="Heading1"/>
      </w:pPr>
      <w:bookmarkStart w:id="3" w:name="O_822280"/>
      <w:bookmarkEnd w:id="3"/>
      <w:r w:rsidRPr="00AB6574">
        <w:t>Competency Field</w:t>
      </w:r>
    </w:p>
    <w:p w:rsidR="00000000" w:rsidRPr="00AB6574" w:rsidP="00E51662">
      <w:pPr>
        <w:pStyle w:val="BodyText"/>
      </w:pPr>
      <w:r w:rsidRPr="00AB6574">
        <w:t>Injury management</w:t>
      </w:r>
    </w:p>
    <w:p w:rsidR="00000000" w:rsidRPr="00AB6574" w:rsidP="00AB6574">
      <w:pPr>
        <w:pStyle w:val="Heading1"/>
      </w:pPr>
      <w:bookmarkStart w:id="4" w:name="O_822282"/>
      <w:bookmarkEnd w:id="4"/>
      <w:r w:rsidRPr="00AB65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B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TableHeading"/>
              <w:rPr>
                <w:lang w:val="en-NZ"/>
              </w:rPr>
            </w:pPr>
            <w:r w:rsidRPr="00AB657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TableHeading"/>
              <w:rPr>
                <w:lang w:val="en-NZ"/>
              </w:rPr>
            </w:pPr>
            <w:r w:rsidRPr="00AB6574">
              <w:t>PERFORMANCE CRITERIA</w:t>
            </w:r>
          </w:p>
        </w:tc>
      </w:tr>
      <w:tr w:rsidTr="00AB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BodyText"/>
              <w:rPr>
                <w:lang w:val="en-NZ"/>
              </w:rPr>
            </w:pPr>
            <w:r w:rsidRPr="00AB657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BodyText"/>
              <w:rPr>
                <w:lang w:val="en-NZ"/>
              </w:rPr>
            </w:pPr>
            <w:r w:rsidRPr="00AB6574">
              <w:t>Performance criteria describe th</w:t>
            </w:r>
            <w:r w:rsidRPr="00AB6574">
              <w:t>e performance needed to demonstrate achievement of the element. Where bold italicised text is used, further information is detailed in the range of conditions section.</w:t>
            </w:r>
          </w:p>
        </w:tc>
      </w:tr>
      <w:tr w:rsidTr="00AB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List"/>
              <w:rPr>
                <w:lang w:val="en-NZ"/>
              </w:rPr>
            </w:pPr>
            <w:r w:rsidRPr="00AB6574">
              <w:rPr>
                <w:rStyle w:val="SpecialBold"/>
              </w:rPr>
              <w:t>1.</w:t>
            </w:r>
            <w:r w:rsidRPr="00AB6574">
              <w:rPr>
                <w:rStyle w:val="SpecialBold"/>
              </w:rPr>
              <w:tab/>
              <w:t>Estimate liability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574" w:rsidP="00AB6574">
            <w:pPr>
              <w:pStyle w:val="List"/>
            </w:pPr>
            <w:r w:rsidRPr="00AB6574">
              <w:t>1.1</w:t>
            </w:r>
            <w:r w:rsidRPr="00AB6574">
              <w:tab/>
              <w:t>Use current information and guidelines on legislative changes</w:t>
            </w:r>
            <w:r w:rsidRPr="00AB6574">
              <w:t xml:space="preserve"> and liability management to ensure up-to-date methods are used to estimate liability.</w:t>
            </w:r>
          </w:p>
          <w:p w:rsidR="00000000" w:rsidRPr="00AB6574" w:rsidP="00AB6574">
            <w:pPr>
              <w:pStyle w:val="List"/>
            </w:pPr>
            <w:r w:rsidRPr="00AB6574">
              <w:t>1.2</w:t>
            </w:r>
            <w:r w:rsidRPr="00AB6574">
              <w:tab/>
              <w:t>Identify all anticipated costs the employer believes may be incurred up to the time claims are resolved.</w:t>
            </w:r>
          </w:p>
          <w:p w:rsidR="00000000" w:rsidRPr="00AB6574" w:rsidP="00AB6574">
            <w:pPr>
              <w:pStyle w:val="List"/>
            </w:pPr>
            <w:r w:rsidRPr="00AB6574">
              <w:t>1.3</w:t>
            </w:r>
            <w:r w:rsidRPr="00AB6574">
              <w:tab/>
              <w:t>Use case estimate software facilities as required to cre</w:t>
            </w:r>
            <w:r w:rsidRPr="00AB6574">
              <w:t>ate automated case estimates based on reporting data.</w:t>
            </w:r>
          </w:p>
          <w:p w:rsidR="00000000" w:rsidRPr="00AB6574" w:rsidP="00AB6574">
            <w:pPr>
              <w:pStyle w:val="List"/>
            </w:pPr>
            <w:r w:rsidRPr="00AB6574">
              <w:t>1.4</w:t>
            </w:r>
            <w:r w:rsidRPr="00AB6574">
              <w:tab/>
              <w:t>Use key indicators to estimate costs and amend automated estimates as necessary, based on local knowledge of particular claims.</w:t>
            </w:r>
          </w:p>
          <w:p w:rsidR="00000000" w:rsidRPr="00AB6574" w:rsidP="00AB6574">
            <w:pPr>
              <w:pStyle w:val="List"/>
            </w:pPr>
            <w:r w:rsidRPr="00AB6574">
              <w:t>1.5</w:t>
            </w:r>
            <w:r w:rsidRPr="00AB6574">
              <w:tab/>
              <w:t xml:space="preserve">Review estimates at required intervals, and maintain estimates of </w:t>
            </w:r>
            <w:r w:rsidRPr="00AB6574">
              <w:t>future liability on all open claims.</w:t>
            </w:r>
          </w:p>
          <w:p w:rsidR="00000000" w:rsidP="00AB6574">
            <w:pPr>
              <w:pStyle w:val="List"/>
              <w:rPr>
                <w:lang w:val="en-NZ"/>
              </w:rPr>
            </w:pPr>
            <w:r w:rsidRPr="00AB6574">
              <w:t>1.6</w:t>
            </w:r>
            <w:r w:rsidRPr="00AB6574">
              <w:tab/>
              <w:t>Identify and pursue recovery rights against other parties or employers for the disabilities claimed.</w:t>
            </w:r>
          </w:p>
        </w:tc>
      </w:tr>
      <w:tr w:rsidTr="00AB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List"/>
              <w:rPr>
                <w:lang w:val="en-NZ"/>
              </w:rPr>
            </w:pPr>
            <w:r w:rsidRPr="00AB6574">
              <w:rPr>
                <w:rStyle w:val="SpecialBold"/>
              </w:rPr>
              <w:t>2.</w:t>
            </w:r>
            <w:r w:rsidRPr="00AB6574">
              <w:rPr>
                <w:rStyle w:val="SpecialBold"/>
              </w:rPr>
              <w:tab/>
              <w:t>Determine settlement options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574" w:rsidP="00AB6574">
            <w:pPr>
              <w:pStyle w:val="List"/>
            </w:pPr>
            <w:r w:rsidRPr="00AB6574">
              <w:t>2.1</w:t>
            </w:r>
            <w:r w:rsidRPr="00AB6574">
              <w:tab/>
              <w:t>Identify settlement options.</w:t>
            </w:r>
          </w:p>
          <w:p w:rsidR="00000000" w:rsidP="00AB6574">
            <w:pPr>
              <w:pStyle w:val="List"/>
              <w:rPr>
                <w:lang w:val="en-NZ"/>
              </w:rPr>
            </w:pPr>
            <w:r w:rsidRPr="00AB6574">
              <w:t>2.2</w:t>
            </w:r>
            <w:r w:rsidRPr="00AB6574">
              <w:tab/>
              <w:t>Assess options to determine the most cost ef</w:t>
            </w:r>
            <w:r w:rsidRPr="00AB6574">
              <w:t>fective course of action, given the nature and extent of each liability.</w:t>
            </w:r>
          </w:p>
        </w:tc>
      </w:tr>
      <w:tr w:rsidTr="00AB6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574">
            <w:pPr>
              <w:pStyle w:val="List"/>
              <w:rPr>
                <w:lang w:val="en-NZ"/>
              </w:rPr>
            </w:pPr>
            <w:r w:rsidRPr="00AB6574">
              <w:rPr>
                <w:rStyle w:val="SpecialBold"/>
              </w:rPr>
              <w:t>3.</w:t>
            </w:r>
            <w:r w:rsidRPr="00AB6574">
              <w:rPr>
                <w:rStyle w:val="SpecialBold"/>
              </w:rPr>
              <w:tab/>
              <w:t>Negotiate settlements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574" w:rsidP="00AB6574">
            <w:pPr>
              <w:pStyle w:val="List"/>
            </w:pPr>
            <w:r w:rsidRPr="00AB6574">
              <w:t>3.1</w:t>
            </w:r>
            <w:r w:rsidRPr="00AB6574">
              <w:tab/>
              <w:t>Consult injured workers to ensure they have competent professional and financial advice before entering into an agreement.</w:t>
            </w:r>
          </w:p>
          <w:p w:rsidR="00000000" w:rsidRPr="00AB6574" w:rsidP="00AB6574">
            <w:pPr>
              <w:pStyle w:val="List"/>
            </w:pPr>
            <w:r w:rsidRPr="00AB6574">
              <w:t>3.2</w:t>
            </w:r>
            <w:r w:rsidRPr="00AB6574">
              <w:tab/>
              <w:t>Negotiate settlement terms</w:t>
            </w:r>
            <w:r w:rsidRPr="00AB6574">
              <w:t xml:space="preserve"> to meet obligations and minimise losses.</w:t>
            </w:r>
          </w:p>
          <w:p w:rsidR="00000000" w:rsidRPr="00AB6574" w:rsidP="00AB6574">
            <w:pPr>
              <w:pStyle w:val="List"/>
            </w:pPr>
            <w:r w:rsidRPr="00AB6574">
              <w:t>3.3</w:t>
            </w:r>
            <w:r w:rsidRPr="00AB6574">
              <w:tab/>
              <w:t>Determine settlement terms that represent substantial savings on costs that would otherwise have been incurred for future liability.</w:t>
            </w:r>
          </w:p>
          <w:p w:rsidR="00000000" w:rsidRPr="00AB6574" w:rsidP="00AB6574">
            <w:pPr>
              <w:pStyle w:val="List"/>
            </w:pPr>
            <w:r w:rsidRPr="00AB6574">
              <w:t>3.4</w:t>
            </w:r>
            <w:r w:rsidRPr="00AB6574">
              <w:tab/>
              <w:t>Negotiate settlements within financial delegations or refer.</w:t>
            </w:r>
          </w:p>
          <w:p w:rsidR="00000000" w:rsidRPr="00AB6574" w:rsidP="00AB6574">
            <w:pPr>
              <w:pStyle w:val="List"/>
            </w:pPr>
            <w:r w:rsidRPr="00AB6574">
              <w:t>3.5</w:t>
            </w:r>
            <w:r w:rsidRPr="00AB6574">
              <w:tab/>
              <w:t>Obtain d</w:t>
            </w:r>
            <w:r w:rsidRPr="00AB6574">
              <w:t>ischarge to ensure potential for further liability is eliminated.</w:t>
            </w:r>
          </w:p>
          <w:p w:rsidR="00000000" w:rsidRPr="00AB6574" w:rsidP="00AB6574">
            <w:pPr>
              <w:pStyle w:val="List"/>
            </w:pPr>
            <w:r w:rsidRPr="00AB6574">
              <w:t>3.6</w:t>
            </w:r>
            <w:r w:rsidRPr="00AB6574">
              <w:tab/>
              <w:t>Refer settlements, for conciliation and arbitration where agreement cannot be reached.</w:t>
            </w:r>
          </w:p>
        </w:tc>
      </w:tr>
    </w:tbl>
    <w:p w:rsidR="00E51662" w:rsidP="00AB6574">
      <w:pPr>
        <w:pStyle w:val="BodyText"/>
      </w:pPr>
    </w:p>
    <w:p w:rsidR="00E51662" w:rsidP="00AB6574">
      <w:pPr>
        <w:pStyle w:val="BodyText"/>
      </w:pPr>
    </w:p>
    <w:p w:rsidR="00000000" w:rsidRPr="00AB6574" w:rsidP="00AB6574">
      <w:pPr>
        <w:pStyle w:val="Heading1"/>
      </w:pPr>
      <w:bookmarkStart w:id="5" w:name="O_822283"/>
      <w:bookmarkEnd w:id="5"/>
      <w:r w:rsidRPr="00AB6574">
        <w:t>Foundation Skills</w:t>
      </w:r>
    </w:p>
    <w:p w:rsidR="00000000" w:rsidRPr="00AB6574" w:rsidP="00E51662">
      <w:pPr>
        <w:pStyle w:val="BodyText"/>
      </w:pPr>
      <w:r w:rsidRPr="00AB6574">
        <w:t>Foundation skills are embedded within the elements and performance criteria of this unit.</w:t>
      </w:r>
    </w:p>
    <w:p w:rsidR="00000000" w:rsidRPr="00AB6574" w:rsidP="00AB6574">
      <w:pPr>
        <w:pStyle w:val="Heading1"/>
      </w:pPr>
      <w:bookmarkStart w:id="6" w:name="O_822285"/>
      <w:bookmarkEnd w:id="6"/>
      <w:r w:rsidRPr="00AB6574">
        <w:t>Unit Mapping Information</w:t>
      </w:r>
    </w:p>
    <w:p w:rsidR="00000000" w:rsidRPr="00AB6574" w:rsidP="00E51662">
      <w:pPr>
        <w:pStyle w:val="BodyText"/>
      </w:pPr>
      <w:r w:rsidRPr="00AB6574">
        <w:t>This unit supersedes and is equivalent to PSPIM501A Determine liability and negotiate settlements.</w:t>
      </w:r>
    </w:p>
    <w:p w:rsidR="00000000" w:rsidRPr="00AB6574" w:rsidP="00AB6574">
      <w:pPr>
        <w:pStyle w:val="Heading1"/>
      </w:pPr>
      <w:bookmarkStart w:id="7" w:name="O_822292"/>
      <w:bookmarkEnd w:id="7"/>
      <w:r w:rsidRPr="00AB6574">
        <w:t>Links</w:t>
      </w:r>
    </w:p>
    <w:p w:rsidR="00000000" w:rsidRPr="00AB6574" w:rsidP="00E51662">
      <w:pPr>
        <w:pStyle w:val="BodyText"/>
      </w:pPr>
      <w:r w:rsidRPr="00AB6574">
        <w:t>Co</w:t>
      </w:r>
      <w:r w:rsidRPr="00AB657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2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6574" w:rsidP="00E51662">
      <w:pPr>
        <w:pStyle w:val="BodyText"/>
      </w:pPr>
      <w:r w:rsidRPr="00AB6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2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6574" w:rsidP="00E51662">
      <w:pPr>
        <w:pStyle w:val="BodyText"/>
      </w:pPr>
      <w:r w:rsidRPr="00AB6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2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6574" w:rsidP="00E51662">
      <w:pPr>
        <w:pStyle w:val="BodyText"/>
      </w:pPr>
      <w:r w:rsidRPr="00AB6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28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6574" w:rsidP="00AB6574"/>
    <w:sectPr w:rsidSect="00AB6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4" w:rsidRPr="00E51662" w:rsidP="00E51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62" w:rsidP="00AB6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662" w:rsidP="00AB6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1662" w:rsidP="00AB6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574" w:rsidRPr="00E51662" w:rsidP="00E51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662" w:rsidRPr="002D2AF8" w:rsidP="00AB6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PSPINM011 Determine liability and negotiate settlements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51662" w:rsidP="00AB6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9A4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E9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574"/>
  </w:style>
  <w:style w:type="character" w:customStyle="1" w:styleId="Heading1Char">
    <w:name w:val="Heading 1 Char"/>
    <w:basedOn w:val="DefaultParagraphFont"/>
    <w:link w:val="Heading1"/>
    <w:rsid w:val="00AB6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5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6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65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574"/>
    <w:rPr>
      <w:b/>
      <w:spacing w:val="0"/>
    </w:rPr>
  </w:style>
  <w:style w:type="paragraph" w:customStyle="1" w:styleId="SuperHeading">
    <w:name w:val="SuperHeading"/>
    <w:basedOn w:val="Normal"/>
    <w:rsid w:val="00AB6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65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6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5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6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5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574"/>
    <w:rPr>
      <w:i/>
    </w:rPr>
  </w:style>
  <w:style w:type="paragraph" w:styleId="Caption">
    <w:name w:val="caption"/>
    <w:basedOn w:val="BodyText"/>
    <w:next w:val="Normal"/>
    <w:qFormat/>
    <w:rsid w:val="00AB6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574"/>
  </w:style>
  <w:style w:type="paragraph" w:styleId="TableofFigures">
    <w:name w:val="table of figures"/>
    <w:basedOn w:val="Normal"/>
    <w:next w:val="Normal"/>
    <w:semiHidden/>
    <w:rsid w:val="00AB6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5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6574"/>
    <w:rPr>
      <w:rFonts w:ascii="Wingdings" w:hAnsi="Wingdings"/>
    </w:rPr>
  </w:style>
  <w:style w:type="character" w:customStyle="1" w:styleId="HotSpot">
    <w:name w:val="HotSpot"/>
    <w:rsid w:val="00AB6574"/>
    <w:rPr>
      <w:color w:val="0033CC"/>
      <w:u w:val="none"/>
    </w:rPr>
  </w:style>
  <w:style w:type="paragraph" w:customStyle="1" w:styleId="BodyTextRight">
    <w:name w:val="Body Text Right"/>
    <w:basedOn w:val="BodyText"/>
    <w:rsid w:val="00AB6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5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574"/>
    <w:rPr>
      <w:sz w:val="32"/>
    </w:rPr>
  </w:style>
  <w:style w:type="paragraph" w:customStyle="1" w:styleId="HeadingProcedure">
    <w:name w:val="Heading Procedure"/>
    <w:basedOn w:val="HeadingBase"/>
    <w:next w:val="Normal"/>
    <w:rsid w:val="00AB6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574"/>
    <w:pPr>
      <w:spacing w:before="60" w:after="60"/>
    </w:pPr>
  </w:style>
  <w:style w:type="paragraph" w:styleId="ListContinue">
    <w:name w:val="List Continue"/>
    <w:basedOn w:val="List"/>
    <w:rsid w:val="00AB6574"/>
    <w:pPr>
      <w:ind w:firstLine="0"/>
    </w:pPr>
  </w:style>
  <w:style w:type="paragraph" w:customStyle="1" w:styleId="ListNote">
    <w:name w:val="List Note"/>
    <w:basedOn w:val="List"/>
    <w:rsid w:val="00AB6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574"/>
    <w:rPr>
      <w:rFonts w:ascii="Courier New" w:hAnsi="Courier New"/>
    </w:rPr>
  </w:style>
  <w:style w:type="paragraph" w:customStyle="1" w:styleId="NoteBullet">
    <w:name w:val="Note Bullet"/>
    <w:basedOn w:val="Note"/>
    <w:rsid w:val="00AB6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5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6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574"/>
    <w:rPr>
      <w:b/>
      <w:smallCaps/>
    </w:rPr>
  </w:style>
  <w:style w:type="paragraph" w:customStyle="1" w:styleId="TableListNumber">
    <w:name w:val="Table List Number"/>
    <w:basedOn w:val="ListNumber"/>
    <w:rsid w:val="00AB6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574"/>
    <w:pPr>
      <w:numPr>
        <w:numId w:val="8"/>
      </w:numPr>
    </w:pPr>
  </w:style>
  <w:style w:type="paragraph" w:customStyle="1" w:styleId="ListAlpha2">
    <w:name w:val="List Alpha 2"/>
    <w:basedOn w:val="List2"/>
    <w:rsid w:val="00AB6574"/>
    <w:pPr>
      <w:numPr>
        <w:numId w:val="7"/>
      </w:numPr>
    </w:pPr>
  </w:style>
  <w:style w:type="paragraph" w:styleId="List2">
    <w:name w:val="List 2"/>
    <w:basedOn w:val="BodyText"/>
    <w:rsid w:val="00AB6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5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5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6574"/>
    <w:pPr>
      <w:numPr>
        <w:numId w:val="3"/>
      </w:numPr>
    </w:pPr>
  </w:style>
  <w:style w:type="paragraph" w:styleId="ListContinue2">
    <w:name w:val="List Continue 2"/>
    <w:basedOn w:val="List2"/>
    <w:rsid w:val="00AB6574"/>
    <w:pPr>
      <w:ind w:firstLine="0"/>
    </w:pPr>
  </w:style>
  <w:style w:type="paragraph" w:styleId="ListContinue3">
    <w:name w:val="List Continue 3"/>
    <w:basedOn w:val="List3"/>
    <w:rsid w:val="00AB6574"/>
    <w:pPr>
      <w:ind w:left="1021" w:firstLine="0"/>
    </w:pPr>
  </w:style>
  <w:style w:type="paragraph" w:styleId="ListContinue4">
    <w:name w:val="List Continue 4"/>
    <w:basedOn w:val="List4"/>
    <w:rsid w:val="00AB6574"/>
    <w:pPr>
      <w:ind w:firstLine="0"/>
    </w:pPr>
  </w:style>
  <w:style w:type="paragraph" w:styleId="ListContinue5">
    <w:name w:val="List Continue 5"/>
    <w:basedOn w:val="List5"/>
    <w:rsid w:val="00AB6574"/>
    <w:pPr>
      <w:ind w:firstLine="0"/>
    </w:pPr>
  </w:style>
  <w:style w:type="paragraph" w:styleId="ListNumber3">
    <w:name w:val="List Number 3"/>
    <w:basedOn w:val="List3"/>
    <w:rsid w:val="00AB6574"/>
    <w:pPr>
      <w:numPr>
        <w:numId w:val="4"/>
      </w:numPr>
    </w:pPr>
  </w:style>
  <w:style w:type="paragraph" w:styleId="ListNumber4">
    <w:name w:val="List Number 4"/>
    <w:basedOn w:val="List4"/>
    <w:rsid w:val="00AB6574"/>
    <w:pPr>
      <w:numPr>
        <w:numId w:val="5"/>
      </w:numPr>
    </w:pPr>
  </w:style>
  <w:style w:type="paragraph" w:styleId="ListNumber5">
    <w:name w:val="List Number 5"/>
    <w:basedOn w:val="List5"/>
    <w:rsid w:val="00AB6574"/>
    <w:pPr>
      <w:numPr>
        <w:numId w:val="6"/>
      </w:numPr>
    </w:pPr>
  </w:style>
  <w:style w:type="paragraph" w:styleId="BlockText">
    <w:name w:val="Block Text"/>
    <w:basedOn w:val="Normal"/>
    <w:rsid w:val="00AB6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574"/>
    <w:rPr>
      <w:sz w:val="16"/>
      <w:vertAlign w:val="superscript"/>
    </w:rPr>
  </w:style>
  <w:style w:type="character" w:customStyle="1" w:styleId="Symbols">
    <w:name w:val="Symbols"/>
    <w:basedOn w:val="DefaultParagraphFont"/>
    <w:rsid w:val="00AB6574"/>
    <w:rPr>
      <w:rFonts w:ascii="Symbol" w:hAnsi="Symbol"/>
    </w:rPr>
  </w:style>
  <w:style w:type="character" w:customStyle="1" w:styleId="MenuOptions">
    <w:name w:val="Menu Options"/>
    <w:basedOn w:val="DefaultParagraphFont"/>
    <w:rsid w:val="00AB6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574"/>
    <w:rPr>
      <w:b/>
    </w:rPr>
  </w:style>
  <w:style w:type="character" w:customStyle="1" w:styleId="Underlined">
    <w:name w:val="Underlined"/>
    <w:basedOn w:val="DefaultParagraphFont"/>
    <w:rsid w:val="00AB6574"/>
    <w:rPr>
      <w:u w:val="single"/>
    </w:rPr>
  </w:style>
  <w:style w:type="paragraph" w:customStyle="1" w:styleId="TableBodyTextRight">
    <w:name w:val="Table Body Text Right"/>
    <w:basedOn w:val="TableBodyText"/>
    <w:rsid w:val="00AB6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574"/>
    <w:rPr>
      <w:sz w:val="18"/>
    </w:rPr>
  </w:style>
  <w:style w:type="paragraph" w:customStyle="1" w:styleId="BodySmallRight">
    <w:name w:val="Body Small Right"/>
    <w:basedOn w:val="BodyTextRight"/>
    <w:rsid w:val="00AB6574"/>
    <w:rPr>
      <w:sz w:val="18"/>
      <w:szCs w:val="18"/>
    </w:rPr>
  </w:style>
  <w:style w:type="paragraph" w:customStyle="1" w:styleId="MarginEdition">
    <w:name w:val="Margin Edition"/>
    <w:basedOn w:val="MarginNote"/>
    <w:rsid w:val="00AB6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574"/>
    <w:rPr>
      <w:sz w:val="2"/>
      <w:szCs w:val="2"/>
    </w:rPr>
  </w:style>
  <w:style w:type="character" w:customStyle="1" w:styleId="Small">
    <w:name w:val="Small"/>
    <w:basedOn w:val="DefaultParagraphFont"/>
    <w:rsid w:val="00AB6574"/>
    <w:rPr>
      <w:sz w:val="16"/>
    </w:rPr>
  </w:style>
  <w:style w:type="paragraph" w:customStyle="1" w:styleId="WideTable">
    <w:name w:val="Wide Table"/>
    <w:basedOn w:val="Normal"/>
    <w:rsid w:val="00AB6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574"/>
  </w:style>
  <w:style w:type="paragraph" w:styleId="Quote">
    <w:name w:val="Quote"/>
    <w:basedOn w:val="Heading1"/>
    <w:link w:val="QuoteChar"/>
    <w:qFormat/>
    <w:rsid w:val="00AB6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574"/>
    <w:pPr>
      <w:pageBreakBefore/>
    </w:pPr>
  </w:style>
  <w:style w:type="paragraph" w:customStyle="1" w:styleId="Border">
    <w:name w:val="Border"/>
    <w:basedOn w:val="Normal"/>
    <w:qFormat/>
    <w:rsid w:val="00AB6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574"/>
    <w:rPr>
      <w:u w:val="single"/>
    </w:rPr>
  </w:style>
  <w:style w:type="character" w:customStyle="1" w:styleId="BoldandItalics">
    <w:name w:val="Bold and Italics"/>
    <w:qFormat/>
    <w:rsid w:val="00AB6574"/>
    <w:rPr>
      <w:b/>
      <w:i/>
      <w:u w:val="none"/>
    </w:rPr>
  </w:style>
  <w:style w:type="paragraph" w:styleId="BalloonText">
    <w:name w:val="Balloon Text"/>
    <w:basedOn w:val="Normal"/>
    <w:link w:val="BalloonTextChar"/>
    <w:rsid w:val="00AB6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574"/>
    <w:pPr>
      <w:spacing w:before="0" w:after="0"/>
    </w:pPr>
  </w:style>
  <w:style w:type="paragraph" w:customStyle="1" w:styleId="BodyTextBold">
    <w:name w:val="Body Text Bold"/>
    <w:basedOn w:val="BodyText"/>
    <w:qFormat/>
    <w:rsid w:val="00AB6574"/>
    <w:rPr>
      <w:b/>
    </w:rPr>
  </w:style>
  <w:style w:type="character" w:styleId="Hyperlink">
    <w:name w:val="Hyperlink"/>
    <w:basedOn w:val="DefaultParagraphFont"/>
    <w:uiPriority w:val="99"/>
    <w:unhideWhenUsed/>
    <w:rsid w:val="00E51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3912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PSPINM011 Determine liability and negotiate settlements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2022-04-03T13:09:00Z</dcterms:created>
  <dcterms:modified xsi:type="dcterms:W3CDTF">2022-04-03T13:09:00Z</dcterms:modified>
</cp:coreProperties>
</file>