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E55" w:rsidP="00376E55">
      <w:pPr>
        <w:pStyle w:val="Title"/>
      </w:pPr>
      <w:r>
        <w:fldChar w:fldCharType="begin"/>
      </w:r>
      <w:r>
        <w:instrText xml:space="preserve"> TITLE   \* MERGEFORMAT </w:instrText>
      </w:r>
      <w:r>
        <w:fldChar w:fldCharType="separate"/>
      </w:r>
      <w:r>
        <w:t>PSPGEN133 Identify and treat risks</w:t>
      </w:r>
      <w:r>
        <w:fldChar w:fldCharType="end"/>
      </w:r>
    </w:p>
    <w:p w:rsidR="00376E55" w:rsidP="00376E55">
      <w:pPr>
        <w:pStyle w:val="Version"/>
        <w:sectPr w:rsidSect="002C33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362" w:rsidP="002C3362">
      <w:pPr>
        <w:pStyle w:val="SuperHeading"/>
      </w:pPr>
      <w:r w:rsidRPr="002C3362">
        <w:t>PSPGEN133 Identify and treat risks</w:t>
      </w:r>
    </w:p>
    <w:p w:rsidR="00000000" w:rsidRPr="002C3362" w:rsidP="002C3362">
      <w:pPr>
        <w:pStyle w:val="Heading1"/>
      </w:pPr>
      <w:bookmarkStart w:id="1" w:name="O_1215824"/>
      <w:bookmarkEnd w:id="1"/>
      <w:r w:rsidRPr="002C3362">
        <w:t>Modification History</w:t>
      </w:r>
    </w:p>
    <w:p w:rsidR="00000000" w:rsidRPr="002C3362" w:rsidP="00376E55">
      <w:pPr>
        <w:pStyle w:val="BodyText"/>
      </w:pPr>
      <w:r w:rsidRPr="002C3362">
        <w:t>Supersedes and is equivalent to PSPGEN038 Identify and treat risks.</w:t>
      </w:r>
    </w:p>
    <w:p w:rsidR="00000000" w:rsidRPr="002C3362" w:rsidP="002C3362">
      <w:pPr>
        <w:pStyle w:val="Heading1"/>
      </w:pPr>
      <w:bookmarkStart w:id="2" w:name="O_1215825"/>
      <w:bookmarkEnd w:id="2"/>
      <w:r w:rsidRPr="002C3362">
        <w:t>Application</w:t>
      </w:r>
    </w:p>
    <w:p w:rsidR="00000000" w:rsidRPr="002C3362" w:rsidP="00376E55">
      <w:pPr>
        <w:pStyle w:val="BodyText"/>
      </w:pPr>
      <w:r w:rsidRPr="002C3362">
        <w:t>This unit describes the performance outcomes, skills and knowledge required to identify and treat risks using the organisation’s risk ma</w:t>
      </w:r>
      <w:r w:rsidRPr="002C3362">
        <w:t xml:space="preserve">nagement procedures and treatments. It applies to risks inherent in all aspects of everyday work in the public sector as well as to specific functional activities and projects related to the mandate of the organisation. </w:t>
      </w:r>
    </w:p>
    <w:p w:rsidR="00000000" w:rsidRPr="002C3362" w:rsidP="00376E55">
      <w:pPr>
        <w:pStyle w:val="BodyText"/>
      </w:pPr>
      <w:r w:rsidRPr="002C3362">
        <w:t xml:space="preserve">This unit applies to those working </w:t>
      </w:r>
      <w:r w:rsidRPr="002C3362">
        <w:t>in generalist or specialist roles within the public sector. Those undertaking this unit work independently, performing complex tasks in a range of familiar and unfamiliar contexts.</w:t>
      </w:r>
    </w:p>
    <w:p w:rsidR="00000000" w:rsidRPr="002C3362" w:rsidP="00376E55">
      <w:pPr>
        <w:pStyle w:val="BodyText"/>
      </w:pPr>
      <w:r w:rsidRPr="002C3362">
        <w:t>The skills in this unit must be applied in accordance with Commonwealth and</w:t>
      </w:r>
      <w:r w:rsidRPr="002C3362">
        <w:t xml:space="preserve"> State or Territory legislation, Australian standards and industry codes of practice.</w:t>
      </w:r>
    </w:p>
    <w:p w:rsidR="00000000" w:rsidRPr="002C3362" w:rsidP="00376E55">
      <w:pPr>
        <w:pStyle w:val="BodyText"/>
      </w:pPr>
      <w:r w:rsidRPr="002C3362">
        <w:t>No occupational licensing, certification or specific legislative requirements apply to this unit at the time of publication.</w:t>
      </w:r>
    </w:p>
    <w:p w:rsidR="00000000" w:rsidRPr="002C3362" w:rsidP="002C3362">
      <w:pPr>
        <w:pStyle w:val="Heading1"/>
      </w:pPr>
      <w:bookmarkStart w:id="3" w:name="O_1215826"/>
      <w:bookmarkEnd w:id="3"/>
      <w:r w:rsidRPr="002C3362">
        <w:t>Pre-requisite Unit</w:t>
      </w:r>
    </w:p>
    <w:p w:rsidR="00000000" w:rsidRPr="002C3362" w:rsidP="00376E55">
      <w:pPr>
        <w:pStyle w:val="BodyText"/>
      </w:pPr>
      <w:r w:rsidRPr="002C3362">
        <w:t xml:space="preserve">Nil </w:t>
      </w:r>
    </w:p>
    <w:p w:rsidR="00000000" w:rsidRPr="002C3362" w:rsidP="002C3362">
      <w:pPr>
        <w:pStyle w:val="Heading1"/>
      </w:pPr>
      <w:bookmarkStart w:id="4" w:name="O_1215827"/>
      <w:bookmarkEnd w:id="4"/>
      <w:r w:rsidRPr="002C3362">
        <w:t>Competency Field</w:t>
      </w:r>
    </w:p>
    <w:p w:rsidR="00000000" w:rsidRPr="002C3362" w:rsidP="00376E55">
      <w:pPr>
        <w:pStyle w:val="BodyText"/>
      </w:pPr>
      <w:r w:rsidRPr="002C3362">
        <w:t>General</w:t>
      </w:r>
    </w:p>
    <w:p w:rsidR="00000000" w:rsidRPr="002C3362" w:rsidP="002C3362">
      <w:pPr>
        <w:pStyle w:val="Heading1"/>
      </w:pPr>
      <w:bookmarkStart w:id="5" w:name="O_1215829"/>
      <w:bookmarkEnd w:id="5"/>
      <w:r w:rsidRPr="002C3362">
        <w:t>Elements and Performance Criteria</w:t>
      </w:r>
    </w:p>
    <w:tbl>
      <w:tblPr>
        <w:tblW w:w="0" w:type="auto"/>
        <w:tblLayout w:type="fixed"/>
        <w:tblCellMar>
          <w:left w:w="62" w:type="dxa"/>
          <w:right w:w="62" w:type="dxa"/>
        </w:tblCellMar>
        <w:tblLook w:val="0000"/>
      </w:tblPr>
      <w:tblGrid>
        <w:gridCol w:w="2694"/>
        <w:gridCol w:w="6350"/>
      </w:tblGrid>
      <w:tr w:rsidTr="002C3362">
        <w:tblPrEx>
          <w:tblW w:w="0" w:type="auto"/>
          <w:tblLayout w:type="fixed"/>
          <w:tblCellMar>
            <w:left w:w="62" w:type="dxa"/>
            <w:right w:w="62" w:type="dxa"/>
          </w:tblCellMar>
          <w:tblLook w:val="0000"/>
        </w:tblPrEx>
        <w:trPr>
          <w:trHeight w:val="496"/>
        </w:trPr>
        <w:tc>
          <w:tcPr>
            <w:tcW w:w="2694" w:type="dxa"/>
            <w:tcBorders>
              <w:top w:val="nil"/>
              <w:left w:val="nil"/>
              <w:bottom w:val="nil"/>
              <w:right w:val="nil"/>
            </w:tcBorders>
            <w:tcMar>
              <w:top w:w="0" w:type="dxa"/>
              <w:left w:w="62" w:type="dxa"/>
              <w:bottom w:w="0" w:type="dxa"/>
              <w:right w:w="62" w:type="dxa"/>
            </w:tcMar>
          </w:tcPr>
          <w:p w:rsidR="00000000" w:rsidRPr="002C3362" w:rsidP="002C3362">
            <w:pPr>
              <w:pStyle w:val="BodyText"/>
            </w:pPr>
            <w:r w:rsidRPr="002C336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C3362">
            <w:pPr>
              <w:pStyle w:val="BodyText"/>
              <w:rPr>
                <w:lang w:val="en-NZ"/>
              </w:rPr>
            </w:pPr>
            <w:r w:rsidRPr="002C3362">
              <w:rPr>
                <w:rStyle w:val="SpecialBold"/>
              </w:rPr>
              <w:t>PERFORMANCE</w:t>
            </w:r>
            <w:r w:rsidRPr="002C3362">
              <w:t xml:space="preserve"> </w:t>
            </w:r>
            <w:r w:rsidRPr="002C3362">
              <w:rPr>
                <w:rStyle w:val="SpecialBold"/>
              </w:rPr>
              <w:t>CRITERIA</w:t>
            </w:r>
          </w:p>
        </w:tc>
      </w:tr>
      <w:tr w:rsidTr="002C336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C3362" w:rsidP="002C3362">
            <w:pPr>
              <w:pStyle w:val="BodyText"/>
            </w:pPr>
            <w:r w:rsidRPr="002C336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C3362">
            <w:pPr>
              <w:pStyle w:val="BodyText"/>
              <w:rPr>
                <w:lang w:val="en-NZ"/>
              </w:rPr>
            </w:pPr>
            <w:r w:rsidRPr="002C3362">
              <w:rPr>
                <w:rStyle w:val="Emphasis"/>
              </w:rPr>
              <w:t>Performance criteria describe the performance needed to demonstrate achievement of the element.</w:t>
            </w:r>
          </w:p>
        </w:tc>
      </w:tr>
      <w:tr w:rsidTr="002C3362">
        <w:tblPrEx>
          <w:tblW w:w="0" w:type="auto"/>
          <w:tblLayout w:type="fixed"/>
          <w:tblCellMar>
            <w:left w:w="62" w:type="dxa"/>
            <w:right w:w="62" w:type="dxa"/>
          </w:tblCellMar>
          <w:tblLook w:val="0000"/>
        </w:tblPrEx>
        <w:trPr>
          <w:trHeight w:val="3218"/>
        </w:trPr>
        <w:tc>
          <w:tcPr>
            <w:tcW w:w="2694" w:type="dxa"/>
            <w:tcBorders>
              <w:top w:val="nil"/>
              <w:left w:val="nil"/>
              <w:bottom w:val="nil"/>
              <w:right w:val="nil"/>
            </w:tcBorders>
            <w:tcMar>
              <w:top w:w="0" w:type="dxa"/>
              <w:left w:w="62" w:type="dxa"/>
              <w:bottom w:w="0" w:type="dxa"/>
              <w:right w:w="62" w:type="dxa"/>
            </w:tcMar>
          </w:tcPr>
          <w:p w:rsidR="00000000" w:rsidP="002C3362">
            <w:pPr>
              <w:pStyle w:val="List"/>
              <w:rPr>
                <w:lang w:val="en-NZ"/>
              </w:rPr>
            </w:pPr>
            <w:r w:rsidRPr="002C3362">
              <w:t>1.  Establish the risk context.</w:t>
            </w:r>
          </w:p>
        </w:tc>
        <w:tc>
          <w:tcPr>
            <w:tcW w:w="6350" w:type="dxa"/>
            <w:tcBorders>
              <w:top w:val="nil"/>
              <w:left w:val="nil"/>
              <w:bottom w:val="nil"/>
              <w:right w:val="nil"/>
            </w:tcBorders>
            <w:tcMar>
              <w:top w:w="0" w:type="dxa"/>
              <w:left w:w="62" w:type="dxa"/>
              <w:bottom w:w="0" w:type="dxa"/>
              <w:right w:w="62" w:type="dxa"/>
            </w:tcMar>
          </w:tcPr>
          <w:p w:rsidR="00000000" w:rsidRPr="002C3362" w:rsidP="002C3362">
            <w:pPr>
              <w:pStyle w:val="List"/>
            </w:pPr>
            <w:r w:rsidRPr="002C3362">
              <w:t>1.1. Establish the nature and extent of the work activity.</w:t>
            </w:r>
          </w:p>
          <w:p w:rsidR="00000000" w:rsidRPr="002C3362" w:rsidP="002C3362">
            <w:pPr>
              <w:pStyle w:val="List"/>
            </w:pPr>
            <w:r w:rsidRPr="002C3362">
              <w:t xml:space="preserve">1.2. Identify and document outcomes to be achieved. </w:t>
            </w:r>
          </w:p>
          <w:p w:rsidR="00000000" w:rsidRPr="002C3362" w:rsidP="002C3362">
            <w:pPr>
              <w:pStyle w:val="List"/>
            </w:pPr>
            <w:r w:rsidRPr="002C3362">
              <w:t>1.3. Analyse th</w:t>
            </w:r>
            <w:r w:rsidRPr="002C3362">
              <w:t>e relationship between the work activity and its environment and identify critical factors in the environment that may impact on the achievement of outcomes.</w:t>
            </w:r>
          </w:p>
          <w:p w:rsidR="00000000" w:rsidRPr="002C3362" w:rsidP="002C3362">
            <w:pPr>
              <w:pStyle w:val="List"/>
            </w:pPr>
            <w:r w:rsidRPr="002C3362">
              <w:t xml:space="preserve">1.4. Identify and consult stakeholders to understand their opinions, concerns and needs. </w:t>
            </w:r>
          </w:p>
          <w:p w:rsidR="00000000" w:rsidP="002C3362">
            <w:pPr>
              <w:pStyle w:val="List"/>
              <w:rPr>
                <w:lang w:val="en-NZ"/>
              </w:rPr>
            </w:pPr>
            <w:r w:rsidRPr="002C3362">
              <w:t>1.5. Det</w:t>
            </w:r>
            <w:r w:rsidRPr="002C3362">
              <w:t>ermine risk evaluation criteria for the activity.</w:t>
            </w:r>
          </w:p>
        </w:tc>
      </w:tr>
      <w:tr w:rsidTr="002C3362">
        <w:tblPrEx>
          <w:tblW w:w="0" w:type="auto"/>
          <w:tblLayout w:type="fixed"/>
          <w:tblCellMar>
            <w:left w:w="62" w:type="dxa"/>
            <w:right w:w="62" w:type="dxa"/>
          </w:tblCellMar>
          <w:tblLook w:val="0000"/>
        </w:tblPrEx>
        <w:trPr>
          <w:trHeight w:val="2219"/>
        </w:trPr>
        <w:tc>
          <w:tcPr>
            <w:tcW w:w="2694" w:type="dxa"/>
            <w:tcBorders>
              <w:top w:val="nil"/>
              <w:left w:val="nil"/>
              <w:bottom w:val="nil"/>
              <w:right w:val="nil"/>
            </w:tcBorders>
            <w:tcMar>
              <w:top w:w="0" w:type="dxa"/>
              <w:left w:w="62" w:type="dxa"/>
              <w:bottom w:w="0" w:type="dxa"/>
              <w:right w:w="62" w:type="dxa"/>
            </w:tcMar>
          </w:tcPr>
          <w:p w:rsidR="00000000" w:rsidP="002C3362">
            <w:pPr>
              <w:pStyle w:val="List"/>
              <w:rPr>
                <w:lang w:val="en-NZ"/>
              </w:rPr>
            </w:pPr>
            <w:r w:rsidRPr="002C3362">
              <w:t>2.  Identify risks.</w:t>
            </w:r>
          </w:p>
        </w:tc>
        <w:tc>
          <w:tcPr>
            <w:tcW w:w="6350" w:type="dxa"/>
            <w:tcBorders>
              <w:top w:val="nil"/>
              <w:left w:val="nil"/>
              <w:bottom w:val="nil"/>
              <w:right w:val="nil"/>
            </w:tcBorders>
            <w:tcMar>
              <w:top w:w="0" w:type="dxa"/>
              <w:left w:w="62" w:type="dxa"/>
              <w:bottom w:w="0" w:type="dxa"/>
              <w:right w:w="62" w:type="dxa"/>
            </w:tcMar>
          </w:tcPr>
          <w:p w:rsidR="00000000" w:rsidRPr="002C3362" w:rsidP="002C3362">
            <w:pPr>
              <w:pStyle w:val="List"/>
            </w:pPr>
            <w:r w:rsidRPr="002C3362">
              <w:t>2.1. Select method(s) for identifying risks in accordance with organisational policies and procedures.</w:t>
            </w:r>
          </w:p>
          <w:p w:rsidR="00000000" w:rsidRPr="002C3362" w:rsidP="002C3362">
            <w:pPr>
              <w:pStyle w:val="List"/>
            </w:pPr>
            <w:r w:rsidRPr="002C3362">
              <w:t>2.2. Identify and document sources of risk.</w:t>
            </w:r>
          </w:p>
          <w:p w:rsidR="00000000" w:rsidRPr="002C3362" w:rsidP="002C3362">
            <w:pPr>
              <w:pStyle w:val="List"/>
            </w:pPr>
            <w:r w:rsidRPr="002C3362">
              <w:t>2.3. Identify and record risk events r</w:t>
            </w:r>
            <w:r w:rsidRPr="002C3362">
              <w:t>elated to each source.</w:t>
            </w:r>
          </w:p>
          <w:p w:rsidR="00000000" w:rsidP="002C3362">
            <w:pPr>
              <w:pStyle w:val="List"/>
              <w:rPr>
                <w:lang w:val="en-NZ"/>
              </w:rPr>
            </w:pPr>
            <w:r w:rsidRPr="002C3362">
              <w:t>2.4. Consult to ensure all possible risks are identified.</w:t>
            </w:r>
          </w:p>
        </w:tc>
      </w:tr>
      <w:tr w:rsidTr="002C3362">
        <w:tblPrEx>
          <w:tblW w:w="0" w:type="auto"/>
          <w:tblLayout w:type="fixed"/>
          <w:tblCellMar>
            <w:left w:w="62" w:type="dxa"/>
            <w:right w:w="62" w:type="dxa"/>
          </w:tblCellMar>
          <w:tblLook w:val="0000"/>
        </w:tblPrEx>
        <w:trPr>
          <w:trHeight w:val="2818"/>
        </w:trPr>
        <w:tc>
          <w:tcPr>
            <w:tcW w:w="2694" w:type="dxa"/>
            <w:tcBorders>
              <w:top w:val="nil"/>
              <w:left w:val="nil"/>
              <w:bottom w:val="nil"/>
              <w:right w:val="nil"/>
            </w:tcBorders>
            <w:tcMar>
              <w:top w:w="0" w:type="dxa"/>
              <w:left w:w="62" w:type="dxa"/>
              <w:bottom w:w="0" w:type="dxa"/>
              <w:right w:w="62" w:type="dxa"/>
            </w:tcMar>
          </w:tcPr>
          <w:p w:rsidR="00000000" w:rsidP="002C3362">
            <w:pPr>
              <w:pStyle w:val="List"/>
              <w:rPr>
                <w:lang w:val="en-NZ"/>
              </w:rPr>
            </w:pPr>
            <w:r w:rsidRPr="002C3362">
              <w:t>3.  Analyse risks.</w:t>
            </w:r>
          </w:p>
        </w:tc>
        <w:tc>
          <w:tcPr>
            <w:tcW w:w="6350" w:type="dxa"/>
            <w:tcBorders>
              <w:top w:val="nil"/>
              <w:left w:val="nil"/>
              <w:bottom w:val="nil"/>
              <w:right w:val="nil"/>
            </w:tcBorders>
            <w:tcMar>
              <w:top w:w="0" w:type="dxa"/>
              <w:left w:w="62" w:type="dxa"/>
              <w:bottom w:w="0" w:type="dxa"/>
              <w:right w:w="62" w:type="dxa"/>
            </w:tcMar>
          </w:tcPr>
          <w:p w:rsidR="00000000" w:rsidRPr="002C3362" w:rsidP="002C3362">
            <w:pPr>
              <w:pStyle w:val="List"/>
            </w:pPr>
            <w:r w:rsidRPr="002C3362">
              <w:t>3.1. Analyse and rate the probability of identified risks occurring and consequences.</w:t>
            </w:r>
          </w:p>
          <w:p w:rsidR="00000000" w:rsidRPr="002C3362" w:rsidP="002C3362">
            <w:pPr>
              <w:pStyle w:val="List"/>
            </w:pPr>
            <w:r w:rsidRPr="002C3362">
              <w:t>3.2. Consider current control measures for any of the identified risks in the risk analysis and analyse and include residual risks if necessary.</w:t>
            </w:r>
          </w:p>
          <w:p w:rsidR="00000000" w:rsidRPr="002C3362" w:rsidP="002C3362">
            <w:pPr>
              <w:pStyle w:val="List"/>
            </w:pPr>
            <w:r w:rsidRPr="002C3362">
              <w:t>3.3. Determine levels of risk in accordance with organisational procedures.</w:t>
            </w:r>
          </w:p>
          <w:p w:rsidR="00000000" w:rsidP="002C3362">
            <w:pPr>
              <w:pStyle w:val="List"/>
              <w:rPr>
                <w:lang w:val="en-NZ"/>
              </w:rPr>
            </w:pPr>
            <w:r w:rsidRPr="002C3362">
              <w:t>3.4. Consult to confirm risk levels</w:t>
            </w:r>
            <w:r w:rsidRPr="002C3362">
              <w:t>, and document analysis.</w:t>
            </w:r>
          </w:p>
        </w:tc>
      </w:tr>
      <w:tr w:rsidTr="002C3362">
        <w:tblPrEx>
          <w:tblW w:w="0" w:type="auto"/>
          <w:tblLayout w:type="fixed"/>
          <w:tblCellMar>
            <w:left w:w="62" w:type="dxa"/>
            <w:right w:w="62" w:type="dxa"/>
          </w:tblCellMar>
          <w:tblLook w:val="0000"/>
        </w:tblPrEx>
        <w:trPr>
          <w:trHeight w:val="3324"/>
        </w:trPr>
        <w:tc>
          <w:tcPr>
            <w:tcW w:w="2694" w:type="dxa"/>
            <w:tcBorders>
              <w:top w:val="nil"/>
              <w:left w:val="nil"/>
              <w:bottom w:val="nil"/>
              <w:right w:val="nil"/>
            </w:tcBorders>
            <w:tcMar>
              <w:top w:w="0" w:type="dxa"/>
              <w:left w:w="62" w:type="dxa"/>
              <w:bottom w:w="0" w:type="dxa"/>
              <w:right w:w="62" w:type="dxa"/>
            </w:tcMar>
          </w:tcPr>
          <w:p w:rsidR="00000000" w:rsidP="002C3362">
            <w:pPr>
              <w:pStyle w:val="List"/>
              <w:rPr>
                <w:lang w:val="en-NZ"/>
              </w:rPr>
            </w:pPr>
            <w:r w:rsidRPr="002C3362">
              <w:t>4.  Evaluate risks.</w:t>
            </w:r>
          </w:p>
        </w:tc>
        <w:tc>
          <w:tcPr>
            <w:tcW w:w="6350" w:type="dxa"/>
            <w:tcBorders>
              <w:top w:val="nil"/>
              <w:left w:val="nil"/>
              <w:bottom w:val="nil"/>
              <w:right w:val="nil"/>
            </w:tcBorders>
            <w:tcMar>
              <w:top w:w="0" w:type="dxa"/>
              <w:left w:w="62" w:type="dxa"/>
              <w:bottom w:w="0" w:type="dxa"/>
              <w:right w:w="62" w:type="dxa"/>
            </w:tcMar>
          </w:tcPr>
          <w:p w:rsidR="00000000" w:rsidRPr="002C3362" w:rsidP="002C3362">
            <w:pPr>
              <w:pStyle w:val="List"/>
            </w:pPr>
            <w:r w:rsidRPr="002C3362">
              <w:t>4.1. Evaluate risks against established risk evaluation criteria.</w:t>
            </w:r>
          </w:p>
          <w:p w:rsidR="00000000" w:rsidRPr="002C3362" w:rsidP="002C3362">
            <w:pPr>
              <w:pStyle w:val="List"/>
            </w:pPr>
            <w:r w:rsidRPr="002C3362">
              <w:t>4.2. Determine potential and actual losses which may arise from the risk.</w:t>
            </w:r>
          </w:p>
          <w:p w:rsidR="00000000" w:rsidRPr="002C3362" w:rsidP="002C3362">
            <w:pPr>
              <w:pStyle w:val="List"/>
            </w:pPr>
            <w:r w:rsidRPr="002C3362">
              <w:t>4.3. Determine benefits and opportunities presented by the risk.</w:t>
            </w:r>
          </w:p>
          <w:p w:rsidR="00000000" w:rsidRPr="002C3362" w:rsidP="002C3362">
            <w:pPr>
              <w:pStyle w:val="List"/>
            </w:pPr>
            <w:r w:rsidRPr="002C3362">
              <w:t xml:space="preserve">4.4. </w:t>
            </w:r>
            <w:r w:rsidRPr="002C3362">
              <w:t>Identify risks as acceptable or unacceptable in accordance with risk evaluation criteria and obtain approval.</w:t>
            </w:r>
          </w:p>
          <w:p w:rsidR="00000000" w:rsidP="002C3362">
            <w:pPr>
              <w:pStyle w:val="List"/>
              <w:rPr>
                <w:lang w:val="en-NZ"/>
              </w:rPr>
            </w:pPr>
            <w:r w:rsidRPr="002C3362">
              <w:t>4.5. Prioritise unacceptable risks and document the reasons for acceptance of risks.</w:t>
            </w:r>
          </w:p>
        </w:tc>
      </w:tr>
      <w:tr w:rsidTr="002C3362">
        <w:tblPrEx>
          <w:tblW w:w="0" w:type="auto"/>
          <w:tblLayout w:type="fixed"/>
          <w:tblCellMar>
            <w:left w:w="62" w:type="dxa"/>
            <w:right w:w="62" w:type="dxa"/>
          </w:tblCellMar>
          <w:tblLook w:val="0000"/>
        </w:tblPrEx>
        <w:trPr>
          <w:trHeight w:val="3297"/>
        </w:trPr>
        <w:tc>
          <w:tcPr>
            <w:tcW w:w="2694" w:type="dxa"/>
            <w:tcBorders>
              <w:top w:val="nil"/>
              <w:left w:val="nil"/>
              <w:bottom w:val="nil"/>
              <w:right w:val="nil"/>
            </w:tcBorders>
            <w:tcMar>
              <w:top w:w="0" w:type="dxa"/>
              <w:left w:w="62" w:type="dxa"/>
              <w:bottom w:w="0" w:type="dxa"/>
              <w:right w:w="62" w:type="dxa"/>
            </w:tcMar>
          </w:tcPr>
          <w:p w:rsidR="00000000" w:rsidP="002C3362">
            <w:pPr>
              <w:pStyle w:val="List"/>
              <w:rPr>
                <w:lang w:val="en-NZ"/>
              </w:rPr>
            </w:pPr>
            <w:r w:rsidRPr="002C3362">
              <w:t>5.  Treat risks.</w:t>
            </w:r>
          </w:p>
        </w:tc>
        <w:tc>
          <w:tcPr>
            <w:tcW w:w="6350" w:type="dxa"/>
            <w:tcBorders>
              <w:top w:val="nil"/>
              <w:left w:val="nil"/>
              <w:bottom w:val="nil"/>
              <w:right w:val="nil"/>
            </w:tcBorders>
            <w:tcMar>
              <w:top w:w="0" w:type="dxa"/>
              <w:left w:w="62" w:type="dxa"/>
              <w:bottom w:w="0" w:type="dxa"/>
              <w:right w:w="62" w:type="dxa"/>
            </w:tcMar>
          </w:tcPr>
          <w:p w:rsidR="00000000" w:rsidRPr="002C3362" w:rsidP="002C3362">
            <w:pPr>
              <w:pStyle w:val="List"/>
            </w:pPr>
            <w:r w:rsidRPr="002C3362">
              <w:t xml:space="preserve">5.1. Determine options for treating risks. </w:t>
            </w:r>
          </w:p>
          <w:p w:rsidR="00000000" w:rsidRPr="002C3362" w:rsidP="002C3362">
            <w:pPr>
              <w:pStyle w:val="List"/>
            </w:pPr>
            <w:r w:rsidRPr="002C3362">
              <w:t xml:space="preserve">5.2. Select the best treatment option and undertake a cost-benefit analysis. </w:t>
            </w:r>
          </w:p>
          <w:p w:rsidR="00000000" w:rsidRPr="002C3362" w:rsidP="002C3362">
            <w:pPr>
              <w:pStyle w:val="List"/>
            </w:pPr>
            <w:r w:rsidRPr="002C3362">
              <w:t>5.3. Prepare and communicate a risk treatment plan to relevant personnel.</w:t>
            </w:r>
          </w:p>
          <w:p w:rsidR="00000000" w:rsidRPr="002C3362" w:rsidP="002C3362">
            <w:pPr>
              <w:pStyle w:val="List"/>
            </w:pPr>
            <w:r w:rsidRPr="002C3362">
              <w:t>5.4. Negotiate changes to operational structure, procedures or staffing to implement risk treatments.</w:t>
            </w:r>
          </w:p>
          <w:p w:rsidR="00000000" w:rsidP="002C3362">
            <w:pPr>
              <w:pStyle w:val="List"/>
              <w:rPr>
                <w:lang w:val="en-NZ"/>
              </w:rPr>
            </w:pPr>
            <w:r w:rsidRPr="002C3362">
              <w:t>5</w:t>
            </w:r>
            <w:r w:rsidRPr="002C3362">
              <w:t>.5. Organise resources and implement risk treatment plan.</w:t>
            </w:r>
          </w:p>
        </w:tc>
      </w:tr>
      <w:tr w:rsidTr="002C336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C3362">
            <w:pPr>
              <w:pStyle w:val="List"/>
              <w:rPr>
                <w:lang w:val="en-NZ"/>
              </w:rPr>
            </w:pPr>
            <w:r w:rsidRPr="002C3362">
              <w:t>6.  Monitor and review risk treatment plan.</w:t>
            </w:r>
          </w:p>
        </w:tc>
        <w:tc>
          <w:tcPr>
            <w:tcW w:w="6350" w:type="dxa"/>
            <w:tcBorders>
              <w:top w:val="nil"/>
              <w:left w:val="nil"/>
              <w:bottom w:val="nil"/>
              <w:right w:val="nil"/>
            </w:tcBorders>
            <w:tcMar>
              <w:top w:w="0" w:type="dxa"/>
              <w:left w:w="62" w:type="dxa"/>
              <w:bottom w:w="0" w:type="dxa"/>
              <w:right w:w="62" w:type="dxa"/>
            </w:tcMar>
          </w:tcPr>
          <w:p w:rsidR="00000000" w:rsidRPr="002C3362" w:rsidP="002C3362">
            <w:pPr>
              <w:pStyle w:val="List"/>
            </w:pPr>
            <w:r w:rsidRPr="002C3362">
              <w:t>6.1. Monitor changes in the organisational environment and factors impacting risks and existing risk treatments.</w:t>
            </w:r>
          </w:p>
          <w:p w:rsidR="00000000" w:rsidRPr="002C3362" w:rsidP="002C3362">
            <w:pPr>
              <w:pStyle w:val="List"/>
            </w:pPr>
            <w:r w:rsidRPr="002C3362">
              <w:t>6.2. Monitor changes in the work environ</w:t>
            </w:r>
            <w:r w:rsidRPr="002C3362">
              <w:t xml:space="preserve">ment and make required adjustments to risk treatments for unacceptable risks. </w:t>
            </w:r>
          </w:p>
          <w:p w:rsidR="00000000" w:rsidRPr="002C3362" w:rsidP="002C3362">
            <w:pPr>
              <w:pStyle w:val="List"/>
            </w:pPr>
            <w:r w:rsidRPr="002C3362">
              <w:t>6.3. Monitor acceptable risks to ensure these risk levels do not increase.</w:t>
            </w:r>
          </w:p>
          <w:p w:rsidR="00000000" w:rsidRPr="002C3362" w:rsidP="002C3362">
            <w:pPr>
              <w:pStyle w:val="List"/>
            </w:pPr>
            <w:r w:rsidRPr="002C3362">
              <w:t>6.4. Consult and collect, analyse and use data relating to risks and risk treatments to improve risk m</w:t>
            </w:r>
            <w:r w:rsidRPr="002C3362">
              <w:t>anagement in own area of operation.</w:t>
            </w:r>
          </w:p>
          <w:p w:rsidR="00000000" w:rsidRPr="002C3362" w:rsidP="002C3362">
            <w:pPr>
              <w:pStyle w:val="List"/>
            </w:pPr>
            <w:r w:rsidRPr="002C3362">
              <w:t>6.5. Review and update risk treatment plan in accordance with timetable for review of plan.</w:t>
            </w:r>
          </w:p>
          <w:p w:rsidR="00000000" w:rsidRPr="002C3362" w:rsidP="002C3362">
            <w:pPr>
              <w:pStyle w:val="List"/>
            </w:pPr>
            <w:r w:rsidRPr="002C3362">
              <w:t>6.6. Provide input into formal reviews of risk in the organisation to improve risk management outcomes.</w:t>
            </w:r>
          </w:p>
        </w:tc>
      </w:tr>
    </w:tbl>
    <w:p w:rsidR="00000000" w:rsidRPr="002C3362" w:rsidP="002C3362">
      <w:pPr>
        <w:pStyle w:val="BodyText"/>
      </w:pPr>
    </w:p>
    <w:p w:rsidR="00000000" w:rsidRPr="002C3362" w:rsidP="002C3362">
      <w:pPr>
        <w:pStyle w:val="AllowPageBreak"/>
      </w:pPr>
    </w:p>
    <w:p w:rsidR="00000000" w:rsidRPr="002C3362" w:rsidP="002C3362">
      <w:pPr>
        <w:pStyle w:val="Heading1"/>
      </w:pPr>
      <w:bookmarkStart w:id="6" w:name="O_1215830"/>
      <w:bookmarkEnd w:id="6"/>
      <w:r w:rsidRPr="002C3362">
        <w:t>Foundation Skills</w:t>
      </w:r>
    </w:p>
    <w:tbl>
      <w:tblPr>
        <w:tblW w:w="0" w:type="auto"/>
        <w:tblLayout w:type="fixed"/>
        <w:tblCellMar>
          <w:left w:w="62" w:type="dxa"/>
          <w:right w:w="62" w:type="dxa"/>
        </w:tblCellMar>
        <w:tblLook w:val="0000"/>
      </w:tblPr>
      <w:tblGrid>
        <w:gridCol w:w="2719"/>
        <w:gridCol w:w="6330"/>
      </w:tblGrid>
      <w:tr w:rsidTr="002C3362">
        <w:tblPrEx>
          <w:tblW w:w="0" w:type="auto"/>
          <w:tblLayout w:type="fixed"/>
          <w:tblCellMar>
            <w:left w:w="62" w:type="dxa"/>
            <w:right w:w="62" w:type="dxa"/>
          </w:tblCellMar>
          <w:tblLook w:val="0000"/>
        </w:tblPrEx>
        <w:trPr>
          <w:trHeight w:val="344"/>
        </w:trPr>
        <w:tc>
          <w:tcPr>
            <w:tcW w:w="9049" w:type="dxa"/>
            <w:gridSpan w:val="2"/>
            <w:tcBorders>
              <w:top w:val="nil"/>
              <w:left w:val="nil"/>
              <w:bottom w:val="nil"/>
              <w:right w:val="nil"/>
            </w:tcBorders>
            <w:tcMar>
              <w:top w:w="0" w:type="dxa"/>
              <w:left w:w="62" w:type="dxa"/>
              <w:bottom w:w="0" w:type="dxa"/>
              <w:right w:w="62" w:type="dxa"/>
            </w:tcMar>
          </w:tcPr>
          <w:p w:rsidR="00000000" w:rsidP="002C3362">
            <w:pPr>
              <w:pStyle w:val="BodyText"/>
              <w:rPr>
                <w:lang w:val="en-NZ"/>
              </w:rPr>
            </w:pPr>
            <w:r w:rsidRPr="002C3362">
              <w:t>Foundation skills essential to performance in this unit, but not explicit in the performance criteria are listed here, along with a brief context statement.</w:t>
            </w:r>
          </w:p>
        </w:tc>
      </w:tr>
      <w:tr w:rsidTr="002C3362">
        <w:tblPrEx>
          <w:tblW w:w="0" w:type="auto"/>
          <w:tblLayout w:type="fixed"/>
          <w:tblCellMar>
            <w:left w:w="62" w:type="dxa"/>
            <w:right w:w="62" w:type="dxa"/>
          </w:tblCellMar>
          <w:tblLook w:val="0000"/>
        </w:tblPrEx>
        <w:trPr>
          <w:trHeight w:val="236"/>
        </w:trPr>
        <w:tc>
          <w:tcPr>
            <w:tcW w:w="2719" w:type="dxa"/>
            <w:tcBorders>
              <w:top w:val="nil"/>
              <w:left w:val="nil"/>
              <w:bottom w:val="nil"/>
              <w:right w:val="nil"/>
            </w:tcBorders>
            <w:tcMar>
              <w:top w:w="0" w:type="dxa"/>
              <w:left w:w="62" w:type="dxa"/>
              <w:bottom w:w="0" w:type="dxa"/>
              <w:right w:w="62" w:type="dxa"/>
            </w:tcMar>
          </w:tcPr>
          <w:p w:rsidR="00000000" w:rsidRPr="002C3362" w:rsidP="002C3362">
            <w:pPr>
              <w:pStyle w:val="BodyText"/>
            </w:pPr>
            <w:r w:rsidRPr="002C3362">
              <w:rPr>
                <w:rStyle w:val="SpecialBold"/>
              </w:rPr>
              <w:t>SKILLS</w:t>
            </w:r>
          </w:p>
        </w:tc>
        <w:tc>
          <w:tcPr>
            <w:tcW w:w="6330" w:type="dxa"/>
            <w:tcBorders>
              <w:top w:val="nil"/>
              <w:left w:val="nil"/>
              <w:bottom w:val="nil"/>
              <w:right w:val="nil"/>
            </w:tcBorders>
            <w:tcMar>
              <w:top w:w="0" w:type="dxa"/>
              <w:left w:w="62" w:type="dxa"/>
              <w:bottom w:w="0" w:type="dxa"/>
              <w:right w:w="62" w:type="dxa"/>
            </w:tcMar>
          </w:tcPr>
          <w:p w:rsidR="00000000" w:rsidP="002C3362">
            <w:pPr>
              <w:pStyle w:val="BodyText"/>
              <w:rPr>
                <w:lang w:val="en-NZ"/>
              </w:rPr>
            </w:pPr>
            <w:r w:rsidRPr="002C3362">
              <w:rPr>
                <w:rStyle w:val="SpecialBold"/>
              </w:rPr>
              <w:t>DESCRIPTION</w:t>
            </w:r>
          </w:p>
        </w:tc>
      </w:tr>
      <w:tr w:rsidTr="002C3362">
        <w:tblPrEx>
          <w:tblW w:w="0" w:type="auto"/>
          <w:tblLayout w:type="fixed"/>
          <w:tblCellMar>
            <w:left w:w="62" w:type="dxa"/>
            <w:right w:w="62" w:type="dxa"/>
          </w:tblCellMar>
          <w:tblLook w:val="0000"/>
        </w:tblPrEx>
        <w:trPr>
          <w:trHeight w:val="876"/>
        </w:trPr>
        <w:tc>
          <w:tcPr>
            <w:tcW w:w="2719" w:type="dxa"/>
            <w:tcBorders>
              <w:top w:val="nil"/>
              <w:left w:val="nil"/>
              <w:bottom w:val="nil"/>
              <w:right w:val="nil"/>
            </w:tcBorders>
            <w:tcMar>
              <w:top w:w="0" w:type="dxa"/>
              <w:left w:w="62" w:type="dxa"/>
              <w:bottom w:w="0" w:type="dxa"/>
              <w:right w:w="62" w:type="dxa"/>
            </w:tcMar>
          </w:tcPr>
          <w:p w:rsidR="00000000" w:rsidP="002C3362">
            <w:pPr>
              <w:pStyle w:val="BodyText"/>
              <w:rPr>
                <w:lang w:val="en-NZ"/>
              </w:rPr>
            </w:pPr>
            <w:r w:rsidRPr="002C3362">
              <w:t xml:space="preserve">Reading skills to: </w:t>
            </w:r>
          </w:p>
        </w:tc>
        <w:tc>
          <w:tcPr>
            <w:tcW w:w="6330" w:type="dxa"/>
            <w:tcBorders>
              <w:top w:val="nil"/>
              <w:left w:val="nil"/>
              <w:bottom w:val="nil"/>
              <w:right w:val="nil"/>
            </w:tcBorders>
            <w:tcMar>
              <w:top w:w="0" w:type="dxa"/>
              <w:left w:w="62" w:type="dxa"/>
              <w:bottom w:w="0" w:type="dxa"/>
              <w:right w:w="62" w:type="dxa"/>
            </w:tcMar>
          </w:tcPr>
          <w:p w:rsidR="00000000" w:rsidP="002C3362">
            <w:pPr>
              <w:pStyle w:val="ListBullet"/>
              <w:rPr>
                <w:lang w:val="en-NZ"/>
              </w:rPr>
            </w:pPr>
            <w:r w:rsidRPr="002C3362">
              <w:t>interpret and apply information from range of sources to identify, monitor and review manage risk functions and processes.</w:t>
            </w:r>
          </w:p>
        </w:tc>
      </w:tr>
      <w:tr w:rsidTr="002C3362">
        <w:tblPrEx>
          <w:tblW w:w="0" w:type="auto"/>
          <w:tblLayout w:type="fixed"/>
          <w:tblCellMar>
            <w:left w:w="62" w:type="dxa"/>
            <w:right w:w="62" w:type="dxa"/>
          </w:tblCellMar>
          <w:tblLook w:val="0000"/>
        </w:tblPrEx>
        <w:trPr>
          <w:trHeight w:val="236"/>
        </w:trPr>
        <w:tc>
          <w:tcPr>
            <w:tcW w:w="2719" w:type="dxa"/>
            <w:tcBorders>
              <w:top w:val="nil"/>
              <w:left w:val="nil"/>
              <w:bottom w:val="nil"/>
              <w:right w:val="nil"/>
            </w:tcBorders>
            <w:tcMar>
              <w:top w:w="0" w:type="dxa"/>
              <w:left w:w="62" w:type="dxa"/>
              <w:bottom w:w="0" w:type="dxa"/>
              <w:right w:w="62" w:type="dxa"/>
            </w:tcMar>
          </w:tcPr>
          <w:p w:rsidR="00000000" w:rsidP="002C3362">
            <w:pPr>
              <w:pStyle w:val="BodyText"/>
              <w:rPr>
                <w:lang w:val="en-NZ"/>
              </w:rPr>
            </w:pPr>
            <w:r w:rsidRPr="002C3362">
              <w:t>Numeracy skills to:</w:t>
            </w:r>
          </w:p>
        </w:tc>
        <w:tc>
          <w:tcPr>
            <w:tcW w:w="6330" w:type="dxa"/>
            <w:tcBorders>
              <w:top w:val="nil"/>
              <w:left w:val="nil"/>
              <w:bottom w:val="nil"/>
              <w:right w:val="nil"/>
            </w:tcBorders>
            <w:tcMar>
              <w:top w:w="0" w:type="dxa"/>
              <w:left w:w="62" w:type="dxa"/>
              <w:bottom w:w="0" w:type="dxa"/>
              <w:right w:w="62" w:type="dxa"/>
            </w:tcMar>
          </w:tcPr>
          <w:p w:rsidR="00000000" w:rsidRPr="002C3362" w:rsidP="002C3362">
            <w:pPr>
              <w:pStyle w:val="ListBullet"/>
            </w:pPr>
            <w:r w:rsidRPr="002C3362">
              <w:t>interpret and apply mathematical data to monitoring, review and evaluation processes.</w:t>
            </w:r>
          </w:p>
        </w:tc>
      </w:tr>
    </w:tbl>
    <w:p w:rsidR="00376E55" w:rsidP="002C3362">
      <w:pPr>
        <w:pStyle w:val="BodyText"/>
      </w:pPr>
    </w:p>
    <w:p w:rsidR="00376E55" w:rsidP="002C3362">
      <w:pPr>
        <w:pStyle w:val="BodyText"/>
      </w:pPr>
    </w:p>
    <w:p w:rsidR="00000000" w:rsidRPr="002C3362" w:rsidP="002C3362">
      <w:pPr>
        <w:pStyle w:val="Heading1"/>
      </w:pPr>
      <w:bookmarkStart w:id="7" w:name="O_1215832"/>
      <w:bookmarkEnd w:id="7"/>
      <w:r w:rsidRPr="002C3362">
        <w:t>Unit Mapping Information</w:t>
      </w:r>
    </w:p>
    <w:p w:rsidR="00000000" w:rsidRPr="002C3362" w:rsidP="00376E55">
      <w:pPr>
        <w:pStyle w:val="BodyText"/>
      </w:pPr>
      <w:r w:rsidRPr="002C3362">
        <w:t>Supersedes and is equivalent to PSPGEN038 Identify and treat risks.</w:t>
      </w:r>
    </w:p>
    <w:p w:rsidR="00000000" w:rsidRPr="002C3362" w:rsidP="002C3362">
      <w:pPr>
        <w:pStyle w:val="Heading1"/>
      </w:pPr>
      <w:bookmarkStart w:id="8" w:name="O_1215839"/>
      <w:bookmarkEnd w:id="8"/>
      <w:r w:rsidRPr="002C3362">
        <w:t>Links</w:t>
      </w:r>
    </w:p>
    <w:p w:rsidR="00000000" w:rsidRPr="002C3362" w:rsidP="00376E55">
      <w:pPr>
        <w:pStyle w:val="BodyText"/>
      </w:pPr>
      <w:r w:rsidRPr="002C336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58EC">
        <w:rPr>
          <w:rStyle w:val="Hyperlink"/>
        </w:rPr>
        <w:t>https://vetnet.gov.au/Pages/TrainingDocs.aspx?q=bebbece7-ff48-4d2c-8876-405679019623</w:t>
      </w:r>
      <w:r>
        <w:fldChar w:fldCharType="end"/>
      </w:r>
    </w:p>
    <w:p w:rsidR="00000000" w:rsidRPr="002C3362" w:rsidP="00376E55">
      <w:pPr>
        <w:pStyle w:val="BodyText"/>
        <w:sectPr w:rsidSect="002C3362">
          <w:headerReference w:type="default" r:id="rId10"/>
          <w:footerReference w:type="default" r:id="rId11"/>
          <w:pgSz w:w="11908" w:h="16833"/>
          <w:pgMar w:top="1702" w:right="1418" w:bottom="1702" w:left="1418" w:header="992" w:footer="992" w:gutter="0"/>
          <w:cols w:space="720"/>
          <w:noEndnote/>
          <w:docGrid w:linePitch="299"/>
        </w:sectPr>
      </w:pPr>
    </w:p>
    <w:p w:rsidR="00000000" w:rsidRPr="002C3362" w:rsidP="002C3362">
      <w:pPr>
        <w:pStyle w:val="SuperHeading"/>
      </w:pPr>
      <w:r w:rsidRPr="002C3362">
        <w:t>Assessment Requirements for PSPGEN133 Identify and treat risks</w:t>
      </w:r>
    </w:p>
    <w:p w:rsidR="00000000" w:rsidRPr="002C3362" w:rsidP="002C3362">
      <w:pPr>
        <w:pStyle w:val="Heading1"/>
      </w:pPr>
      <w:bookmarkStart w:id="9" w:name="O_1215834"/>
      <w:bookmarkEnd w:id="9"/>
      <w:r w:rsidRPr="002C3362">
        <w:t>Modification History</w:t>
      </w:r>
    </w:p>
    <w:p w:rsidR="00000000" w:rsidRPr="002C3362" w:rsidP="00376E55">
      <w:pPr>
        <w:pStyle w:val="BodyText"/>
      </w:pPr>
      <w:r w:rsidRPr="002C3362">
        <w:t>Supersedes and is equivalent to PSPGEN038 Identify and treat risks.</w:t>
      </w:r>
    </w:p>
    <w:p w:rsidR="00000000" w:rsidRPr="002C3362" w:rsidP="002C3362">
      <w:pPr>
        <w:pStyle w:val="Heading1"/>
      </w:pPr>
      <w:bookmarkStart w:id="10" w:name="O_1215835"/>
      <w:bookmarkEnd w:id="10"/>
      <w:r w:rsidRPr="002C3362">
        <w:t xml:space="preserve">Performance </w:t>
      </w:r>
      <w:r w:rsidRPr="002C3362">
        <w:t>Evidence</w:t>
      </w:r>
    </w:p>
    <w:p w:rsidR="00000000" w:rsidRPr="002C3362" w:rsidP="00376E55">
      <w:pPr>
        <w:pStyle w:val="BodyText"/>
      </w:pPr>
      <w:r w:rsidRPr="002C3362">
        <w:t>Evidence of the ability to complete tasks outlined in elements and performance criteria of this unit in the context of the job role, and on at least one occasion:</w:t>
      </w:r>
    </w:p>
    <w:p w:rsidR="00000000" w:rsidRPr="002C3362" w:rsidP="002C3362">
      <w:pPr>
        <w:pStyle w:val="ListBullet"/>
      </w:pPr>
      <w:r w:rsidRPr="002C3362">
        <w:t>apply legislation, standards, regulations and policies relating to risk management</w:t>
      </w:r>
    </w:p>
    <w:p w:rsidR="00000000" w:rsidRPr="002C3362" w:rsidP="002C3362">
      <w:pPr>
        <w:pStyle w:val="ListBullet"/>
      </w:pPr>
      <w:r w:rsidRPr="002C3362">
        <w:t>research and analyse the wider context affecting the organisation</w:t>
      </w:r>
    </w:p>
    <w:p w:rsidR="00000000" w:rsidRPr="002C3362" w:rsidP="002C3362">
      <w:pPr>
        <w:pStyle w:val="ListBullet"/>
      </w:pPr>
      <w:r w:rsidRPr="002C3362">
        <w:t>communicate and consult with stakeholders at each stage of the risk management cycle</w:t>
      </w:r>
    </w:p>
    <w:p w:rsidR="00000000" w:rsidRPr="002C3362" w:rsidP="002C3362">
      <w:pPr>
        <w:pStyle w:val="ListBullet"/>
      </w:pPr>
      <w:r w:rsidRPr="002C3362">
        <w:t>estimate and arrange resources needed for implementation of risk treatments.</w:t>
      </w:r>
    </w:p>
    <w:p w:rsidR="00000000" w:rsidRPr="002C3362" w:rsidP="002C3362">
      <w:pPr>
        <w:pStyle w:val="AllowPageBreak"/>
      </w:pPr>
    </w:p>
    <w:p w:rsidR="00000000" w:rsidRPr="002C3362" w:rsidP="002C3362">
      <w:pPr>
        <w:pStyle w:val="Heading1"/>
      </w:pPr>
      <w:bookmarkStart w:id="11" w:name="O_1215836"/>
      <w:bookmarkEnd w:id="11"/>
      <w:r w:rsidRPr="002C3362">
        <w:t>Knowledge Evidence</w:t>
      </w:r>
    </w:p>
    <w:p w:rsidR="00000000" w:rsidRPr="002C3362" w:rsidP="00376E55">
      <w:pPr>
        <w:pStyle w:val="BodyText"/>
      </w:pPr>
      <w:r w:rsidRPr="002C3362">
        <w:t>Demonstrated knowledge required to complete the tasks outlined in elements and performance criteria of this unit:</w:t>
      </w:r>
    </w:p>
    <w:p w:rsidR="00000000" w:rsidRPr="002C3362" w:rsidP="002C3362">
      <w:pPr>
        <w:pStyle w:val="ListBullet"/>
      </w:pPr>
      <w:r w:rsidRPr="002C3362">
        <w:t xml:space="preserve">legislation, regulations, policies, procedures and guidelines relating to risk management </w:t>
      </w:r>
    </w:p>
    <w:p w:rsidR="00000000" w:rsidRPr="002C3362" w:rsidP="002C3362">
      <w:pPr>
        <w:pStyle w:val="ListBullet"/>
      </w:pPr>
      <w:r w:rsidRPr="002C3362">
        <w:t>international and Australian an</w:t>
      </w:r>
      <w:r w:rsidRPr="002C3362">
        <w:t>d New Zealand standards and guidelines on risk management.</w:t>
      </w:r>
    </w:p>
    <w:p w:rsidR="00000000" w:rsidRPr="002C3362" w:rsidP="002C3362">
      <w:pPr>
        <w:pStyle w:val="ListBullet"/>
      </w:pPr>
      <w:r w:rsidRPr="002C3362">
        <w:t>organisational risk management framework</w:t>
      </w:r>
    </w:p>
    <w:p w:rsidR="00000000" w:rsidRPr="002C3362" w:rsidP="002C3362">
      <w:pPr>
        <w:pStyle w:val="ListBullet"/>
      </w:pPr>
      <w:r w:rsidRPr="002C3362">
        <w:t>the relationship of risk to context and how context may define the risks</w:t>
      </w:r>
    </w:p>
    <w:p w:rsidR="00000000" w:rsidRPr="002C3362" w:rsidP="002C3362">
      <w:pPr>
        <w:pStyle w:val="ListBullet"/>
      </w:pPr>
      <w:r w:rsidRPr="002C3362">
        <w:t>the importance of consultation and communication at every stage of the risk managem</w:t>
      </w:r>
      <w:r w:rsidRPr="002C3362">
        <w:t>ent cycle</w:t>
      </w:r>
    </w:p>
    <w:p w:rsidR="00000000" w:rsidRPr="002C3362" w:rsidP="002C3362">
      <w:pPr>
        <w:pStyle w:val="ListBullet"/>
      </w:pPr>
      <w:r w:rsidRPr="002C3362">
        <w:t>risk management as a core activity of everyday work in the public sector</w:t>
      </w:r>
    </w:p>
    <w:p w:rsidR="00000000" w:rsidRPr="002C3362" w:rsidP="002C3362">
      <w:pPr>
        <w:pStyle w:val="ListBullet"/>
      </w:pPr>
      <w:r w:rsidRPr="002C3362">
        <w:t>the diversity of risks in the public sector.</w:t>
      </w:r>
    </w:p>
    <w:p w:rsidR="00000000" w:rsidRPr="002C3362" w:rsidP="002C3362">
      <w:pPr>
        <w:pStyle w:val="AllowPageBreak"/>
      </w:pPr>
    </w:p>
    <w:p w:rsidR="00000000" w:rsidRPr="002C3362" w:rsidP="002C3362">
      <w:pPr>
        <w:pStyle w:val="Heading1"/>
      </w:pPr>
      <w:bookmarkStart w:id="12" w:name="O_1215837"/>
      <w:bookmarkEnd w:id="12"/>
      <w:r w:rsidRPr="002C3362">
        <w:t>Assessment Conditions</w:t>
      </w:r>
    </w:p>
    <w:p w:rsidR="00000000" w:rsidRPr="002C3362" w:rsidP="00376E55">
      <w:pPr>
        <w:pStyle w:val="BodyText"/>
      </w:pPr>
      <w:r w:rsidRPr="002C3362">
        <w:t>Skills must be demonstrated in the workplace or in a simulated environment that reflect</w:t>
      </w:r>
      <w:r w:rsidRPr="002C3362">
        <w:t>s workplace conditions.</w:t>
      </w:r>
    </w:p>
    <w:p w:rsidR="00000000" w:rsidRPr="002C3362" w:rsidP="00376E55">
      <w:pPr>
        <w:pStyle w:val="BodyText"/>
      </w:pPr>
      <w:r w:rsidRPr="002C3362">
        <w:t>Assessment must ensure access to:</w:t>
      </w:r>
    </w:p>
    <w:p w:rsidR="00000000" w:rsidRPr="002C3362" w:rsidP="002C3362">
      <w:pPr>
        <w:pStyle w:val="ListBullet"/>
      </w:pPr>
      <w:r w:rsidRPr="002C3362">
        <w:t xml:space="preserve">legislation, regulations, policies, procedures and guidelines relating to risk management </w:t>
      </w:r>
    </w:p>
    <w:p w:rsidR="00000000" w:rsidRPr="002C3362" w:rsidP="002C3362">
      <w:pPr>
        <w:pStyle w:val="ListBullet"/>
      </w:pPr>
      <w:r w:rsidRPr="002C3362">
        <w:t>international, Australian and New Zealand Standards and regulations in relation to risk management</w:t>
      </w:r>
    </w:p>
    <w:p w:rsidR="00000000" w:rsidRPr="002C3362" w:rsidP="002C3362">
      <w:pPr>
        <w:pStyle w:val="ListBullet"/>
      </w:pPr>
      <w:r w:rsidRPr="002C3362">
        <w:t>resourc</w:t>
      </w:r>
      <w:r w:rsidRPr="002C3362">
        <w:t>es and equipment of the working environment.</w:t>
      </w:r>
    </w:p>
    <w:p w:rsidR="00000000" w:rsidRPr="002C3362" w:rsidP="00376E55">
      <w:pPr>
        <w:pStyle w:val="BodyText"/>
      </w:pPr>
      <w:r w:rsidRPr="002C3362">
        <w:t>Assessors must satisfy the Standards for Registered Training Organisations’ requirements for assessors.</w:t>
      </w:r>
    </w:p>
    <w:p w:rsidR="00000000" w:rsidRPr="002C3362" w:rsidP="002C3362">
      <w:pPr>
        <w:pStyle w:val="Heading1"/>
      </w:pPr>
      <w:bookmarkStart w:id="13" w:name="O_1215840"/>
      <w:bookmarkEnd w:id="13"/>
      <w:r w:rsidRPr="002C3362">
        <w:t>Links</w:t>
      </w:r>
    </w:p>
    <w:p w:rsidR="00000000" w:rsidRPr="002C3362" w:rsidP="00376E55">
      <w:pPr>
        <w:pStyle w:val="BodyText"/>
      </w:pPr>
      <w:r w:rsidRPr="002C3362">
        <w:t>Companion Volume implementation guides are fo</w:t>
      </w:r>
      <w:r w:rsidRPr="002C3362">
        <w:t xml:space="preserve">und in VETNet - </w:t>
      </w:r>
      <w:r>
        <w:fldChar w:fldCharType="begin"/>
      </w:r>
      <w:r>
        <w:instrText xml:space="preserve"> HYPERLINK "https://vetnet.gov.au/Pages/TrainingDocs.aspx?q=bebbece7-ff48-4d2c-8876-405679019623" </w:instrText>
      </w:r>
      <w:r>
        <w:fldChar w:fldCharType="separate"/>
      </w:r>
      <w:r w:rsidRPr="00D358EC">
        <w:rPr>
          <w:rStyle w:val="Hyperlink"/>
        </w:rPr>
        <w:t>https://vetnet.gov.au/Pages/TrainingDocs.aspx?q=bebbece7-ff48-4d2c-8876-405679019623</w:t>
      </w:r>
      <w:r>
        <w:fldChar w:fldCharType="end"/>
      </w:r>
    </w:p>
    <w:p w:rsidR="00000000" w:rsidRPr="002C3362" w:rsidP="002C3362"/>
    <w:sectPr w:rsidSect="002C33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62" w:rsidRPr="00376E55" w:rsidP="00376E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55" w:rsidP="002C3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6E55" w:rsidP="002C33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76E55" w:rsidP="002C33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62" w:rsidP="002C3362">
    <w:pPr>
      <w:pStyle w:val="Footer"/>
      <w:framePr w:wrap="around"/>
    </w:pPr>
    <w:r>
      <w:fldChar w:fldCharType="begin"/>
    </w:r>
    <w:r>
      <w:instrText xml:space="preserve"> DOCPROPERTY  Subject  \* MERGEFORMAT </w:instrText>
    </w:r>
    <w:r>
      <w:fldChar w:fldCharType="separate"/>
    </w:r>
    <w:r w:rsidR="00376E55">
      <w:t>Approved</w:t>
    </w:r>
    <w:r w:rsidR="00376E55">
      <w:fldChar w:fldCharType="end"/>
    </w:r>
    <w:r>
      <w:tab/>
      <w:t xml:space="preserve">Page </w:t>
    </w:r>
    <w:r>
      <w:fldChar w:fldCharType="begin"/>
    </w:r>
    <w:r>
      <w:instrText xml:space="preserve"> PAGE  \* Arabic  \* MERGEFORMAT </w:instrText>
    </w:r>
    <w:r>
      <w:fldChar w:fldCharType="separate"/>
    </w:r>
    <w:r w:rsidR="00376E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6E55">
      <w:rPr>
        <w:noProof/>
      </w:rPr>
      <w:t>4</w:t>
    </w:r>
    <w:r>
      <w:rPr>
        <w:noProof/>
      </w:rPr>
      <w:fldChar w:fldCharType="end"/>
    </w:r>
  </w:p>
  <w:p w:rsidR="002C3362" w:rsidP="002C3362">
    <w:pPr>
      <w:pStyle w:val="Footer"/>
      <w:framePr w:wrap="around"/>
    </w:pPr>
    <w:r>
      <w:t xml:space="preserve">© Commonwealth of Australia, </w:t>
    </w:r>
    <w:r>
      <w:fldChar w:fldCharType="begin"/>
    </w:r>
    <w:r>
      <w:instrText xml:space="preserve"> DATE  \@ "yyyy"  \* MERGEFORMAT </w:instrText>
    </w:r>
    <w:r>
      <w:fldChar w:fldCharType="separate"/>
    </w:r>
    <w:r w:rsidR="00376E55">
      <w:rPr>
        <w:noProof/>
      </w:rPr>
      <w:t>2025</w:t>
    </w:r>
    <w:r>
      <w:fldChar w:fldCharType="end"/>
    </w:r>
    <w:r>
      <w:tab/>
    </w:r>
    <w:r>
      <w:fldChar w:fldCharType="begin"/>
    </w:r>
    <w:r>
      <w:instrText xml:space="preserve"> DOCPROPERTY  Author  \* MERGEFORMAT </w:instrText>
    </w:r>
    <w:r>
      <w:fldChar w:fldCharType="separate"/>
    </w:r>
    <w:r w:rsidR="00376E55">
      <w:t>Public Skills Australia</w:t>
    </w:r>
    <w:r w:rsidR="00376E55">
      <w:fldChar w:fldCharType="end"/>
    </w:r>
  </w:p>
  <w:p w:rsidR="002C3362" w:rsidP="002C3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362" w:rsidRPr="00376E55" w:rsidP="00376E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55" w:rsidRPr="002D2AF8" w:rsidP="002C3362">
    <w:pPr>
      <w:pStyle w:val="Header"/>
      <w:framePr w:wrap="around"/>
    </w:pPr>
    <w:r>
      <w:fldChar w:fldCharType="begin"/>
    </w:r>
    <w:r>
      <w:instrText xml:space="preserve"> TITLE   \* MERGEFORMAT </w:instrText>
    </w:r>
    <w:r>
      <w:fldChar w:fldCharType="separate"/>
    </w:r>
    <w:r>
      <w:t>PSPGEN133 Identify and treat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6E55" w:rsidP="002C33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62" w:rsidRPr="002D2AF8" w:rsidP="002C3362">
    <w:pPr>
      <w:pStyle w:val="Header"/>
      <w:framePr w:wrap="around"/>
    </w:pPr>
    <w:r>
      <w:fldChar w:fldCharType="begin"/>
    </w:r>
    <w:r>
      <w:instrText xml:space="preserve"> TITLE   \* MERGEFORMAT </w:instrText>
    </w:r>
    <w:r>
      <w:fldChar w:fldCharType="separate"/>
    </w:r>
    <w:r w:rsidR="00376E55">
      <w:t>PSPGEN133 Identify and treat risks</w:t>
    </w:r>
    <w:r w:rsidR="00376E55">
      <w:fldChar w:fldCharType="end"/>
    </w:r>
    <w:r>
      <w:tab/>
      <w:t xml:space="preserve">Date this document was generated: </w:t>
    </w:r>
    <w:r>
      <w:fldChar w:fldCharType="begin"/>
    </w:r>
    <w:r>
      <w:instrText xml:space="preserve"> CREATEDATE  \@ "d MMMM yyyy"  \* MERGEFORMAT </w:instrText>
    </w:r>
    <w:r>
      <w:fldChar w:fldCharType="separate"/>
    </w:r>
    <w:r w:rsidR="00376E55">
      <w:rPr>
        <w:noProof/>
      </w:rPr>
      <w:t>2 March 2025</w:t>
    </w:r>
    <w:r>
      <w:fldChar w:fldCharType="end"/>
    </w:r>
  </w:p>
  <w:p w:rsidR="002C3362" w:rsidP="002C3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30FA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8401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362"/>
    <w:pPr>
      <w:spacing w:before="360" w:after="60"/>
      <w:outlineLvl w:val="0"/>
    </w:pPr>
    <w:rPr>
      <w:sz w:val="32"/>
    </w:rPr>
  </w:style>
  <w:style w:type="paragraph" w:styleId="Heading2">
    <w:name w:val="heading 2"/>
    <w:basedOn w:val="HeadingBase"/>
    <w:next w:val="BodyText"/>
    <w:link w:val="Heading2Char"/>
    <w:qFormat/>
    <w:rsid w:val="002C3362"/>
    <w:pPr>
      <w:keepLines/>
      <w:spacing w:before="240" w:after="120"/>
      <w:outlineLvl w:val="1"/>
    </w:pPr>
    <w:rPr>
      <w:sz w:val="28"/>
      <w:szCs w:val="40"/>
    </w:rPr>
  </w:style>
  <w:style w:type="paragraph" w:styleId="Heading3">
    <w:name w:val="heading 3"/>
    <w:basedOn w:val="HeadingBase"/>
    <w:next w:val="BodyText"/>
    <w:link w:val="Heading3Char"/>
    <w:qFormat/>
    <w:rsid w:val="002C3362"/>
    <w:pPr>
      <w:spacing w:before="180" w:after="120"/>
      <w:outlineLvl w:val="2"/>
    </w:pPr>
    <w:rPr>
      <w:spacing w:val="-10"/>
      <w:kern w:val="32"/>
    </w:rPr>
  </w:style>
  <w:style w:type="paragraph" w:styleId="Heading4">
    <w:name w:val="heading 4"/>
    <w:basedOn w:val="HeadingBase"/>
    <w:next w:val="BodyText"/>
    <w:link w:val="Heading4Char"/>
    <w:qFormat/>
    <w:rsid w:val="002C3362"/>
    <w:pPr>
      <w:spacing w:before="160" w:after="120"/>
      <w:outlineLvl w:val="3"/>
    </w:pPr>
    <w:rPr>
      <w:sz w:val="22"/>
    </w:rPr>
  </w:style>
  <w:style w:type="paragraph" w:styleId="Heading5">
    <w:name w:val="heading 5"/>
    <w:basedOn w:val="HeadingBase"/>
    <w:next w:val="Normal"/>
    <w:link w:val="Heading5Char"/>
    <w:qFormat/>
    <w:rsid w:val="002C3362"/>
    <w:pPr>
      <w:spacing w:before="80"/>
      <w:outlineLvl w:val="4"/>
    </w:pPr>
    <w:rPr>
      <w:color w:val="918585"/>
      <w:sz w:val="20"/>
    </w:rPr>
  </w:style>
  <w:style w:type="paragraph" w:styleId="Heading6">
    <w:name w:val="heading 6"/>
    <w:basedOn w:val="HeadingBase"/>
    <w:next w:val="Normal"/>
    <w:link w:val="Heading6Char"/>
    <w:qFormat/>
    <w:rsid w:val="002C3362"/>
    <w:pPr>
      <w:spacing w:before="60"/>
      <w:outlineLvl w:val="5"/>
    </w:pPr>
    <w:rPr>
      <w:color w:val="918585"/>
      <w:sz w:val="20"/>
    </w:rPr>
  </w:style>
  <w:style w:type="paragraph" w:styleId="Heading7">
    <w:name w:val="heading 7"/>
    <w:basedOn w:val="Normal"/>
    <w:next w:val="Normal"/>
    <w:link w:val="Heading7Char"/>
    <w:qFormat/>
    <w:rsid w:val="002C3362"/>
    <w:pPr>
      <w:ind w:left="720"/>
      <w:outlineLvl w:val="6"/>
    </w:pPr>
    <w:rPr>
      <w:i/>
    </w:rPr>
  </w:style>
  <w:style w:type="paragraph" w:styleId="Heading8">
    <w:name w:val="heading 8"/>
    <w:basedOn w:val="Normal"/>
    <w:next w:val="Normal"/>
    <w:link w:val="Heading8Char"/>
    <w:qFormat/>
    <w:rsid w:val="002C3362"/>
    <w:pPr>
      <w:ind w:left="720"/>
      <w:outlineLvl w:val="7"/>
    </w:pPr>
    <w:rPr>
      <w:i/>
    </w:rPr>
  </w:style>
  <w:style w:type="paragraph" w:styleId="Heading9">
    <w:name w:val="heading 9"/>
    <w:basedOn w:val="Normal"/>
    <w:next w:val="Normal"/>
    <w:link w:val="Heading9Char"/>
    <w:qFormat/>
    <w:rsid w:val="002C3362"/>
    <w:pPr>
      <w:ind w:left="720"/>
      <w:outlineLvl w:val="8"/>
    </w:pPr>
    <w:rPr>
      <w:i/>
    </w:rPr>
  </w:style>
  <w:style w:type="character" w:default="1" w:styleId="DefaultParagraphFont">
    <w:name w:val="Default Paragraph Font"/>
    <w:uiPriority w:val="1"/>
    <w:unhideWhenUsed/>
    <w:rsid w:val="002C3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362"/>
  </w:style>
  <w:style w:type="character" w:customStyle="1" w:styleId="Heading1Char">
    <w:name w:val="Heading 1 Char"/>
    <w:basedOn w:val="DefaultParagraphFont"/>
    <w:link w:val="Heading1"/>
    <w:rsid w:val="002C3362"/>
    <w:rPr>
      <w:rFonts w:ascii="Times New Roman" w:eastAsia="Times New Roman" w:hAnsi="Times New Roman" w:cs="Times New Roman"/>
      <w:b/>
      <w:sz w:val="32"/>
      <w:szCs w:val="20"/>
      <w:lang w:eastAsia="en-US"/>
    </w:rPr>
  </w:style>
  <w:style w:type="paragraph" w:styleId="BodyText">
    <w:name w:val="Body Text"/>
    <w:basedOn w:val="Normal"/>
    <w:link w:val="BodyTextChar"/>
    <w:rsid w:val="002C3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362"/>
    <w:rPr>
      <w:rFonts w:ascii="Times New Roman" w:eastAsia="Times New Roman" w:hAnsi="Times New Roman" w:cs="Times New Roman"/>
      <w:sz w:val="24"/>
      <w:lang w:eastAsia="en-US"/>
    </w:rPr>
  </w:style>
  <w:style w:type="paragraph" w:styleId="List">
    <w:name w:val="List"/>
    <w:basedOn w:val="BodyText"/>
    <w:next w:val="BodyText"/>
    <w:rsid w:val="002C3362"/>
    <w:pPr>
      <w:tabs>
        <w:tab w:val="left" w:pos="340"/>
      </w:tabs>
      <w:spacing w:before="60" w:after="60"/>
      <w:ind w:left="340" w:hanging="340"/>
    </w:pPr>
  </w:style>
  <w:style w:type="paragraph" w:styleId="ListBullet">
    <w:name w:val="List Bullet"/>
    <w:basedOn w:val="List"/>
    <w:rsid w:val="002C3362"/>
    <w:pPr>
      <w:numPr>
        <w:numId w:val="11"/>
      </w:numPr>
      <w:tabs>
        <w:tab w:val="clear" w:pos="340"/>
      </w:tabs>
      <w:spacing w:before="40" w:after="40"/>
    </w:pPr>
  </w:style>
  <w:style w:type="character" w:customStyle="1" w:styleId="SpecialBold">
    <w:name w:val="Special Bold"/>
    <w:basedOn w:val="DefaultParagraphFont"/>
    <w:rsid w:val="002C3362"/>
    <w:rPr>
      <w:b/>
      <w:spacing w:val="0"/>
    </w:rPr>
  </w:style>
  <w:style w:type="character" w:styleId="Emphasis">
    <w:name w:val="Emphasis"/>
    <w:basedOn w:val="DefaultParagraphFont"/>
    <w:qFormat/>
    <w:rsid w:val="002C3362"/>
    <w:rPr>
      <w:i/>
    </w:rPr>
  </w:style>
  <w:style w:type="paragraph" w:customStyle="1" w:styleId="SuperHeading">
    <w:name w:val="SuperHeading"/>
    <w:basedOn w:val="Normal"/>
    <w:rsid w:val="002C3362"/>
    <w:pPr>
      <w:spacing w:before="240" w:after="120"/>
      <w:outlineLvl w:val="0"/>
    </w:pPr>
    <w:rPr>
      <w:rFonts w:ascii="Times New Roman" w:hAnsi="Times New Roman"/>
      <w:b/>
      <w:sz w:val="32"/>
    </w:rPr>
  </w:style>
  <w:style w:type="paragraph" w:customStyle="1" w:styleId="AllowPageBreak">
    <w:name w:val="AllowPageBreak"/>
    <w:rsid w:val="002C33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362"/>
    <w:rPr>
      <w:rFonts w:ascii="Courier New" w:eastAsia="Times New Roman" w:hAnsi="Courier New" w:cs="Times New Roman"/>
      <w:i/>
      <w:szCs w:val="20"/>
      <w:lang w:eastAsia="en-US"/>
    </w:rPr>
  </w:style>
  <w:style w:type="paragraph" w:customStyle="1" w:styleId="HeadingBase">
    <w:name w:val="Heading Base"/>
    <w:rsid w:val="002C3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362"/>
    <w:pPr>
      <w:tabs>
        <w:tab w:val="right" w:leader="dot" w:pos="9072"/>
      </w:tabs>
      <w:ind w:left="567"/>
    </w:pPr>
    <w:rPr>
      <w:szCs w:val="22"/>
    </w:rPr>
  </w:style>
  <w:style w:type="paragraph" w:customStyle="1" w:styleId="TOCBase">
    <w:name w:val="TOC Base"/>
    <w:rsid w:val="002C3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362"/>
    <w:pPr>
      <w:tabs>
        <w:tab w:val="right" w:leader="dot" w:pos="9072"/>
      </w:tabs>
      <w:spacing w:before="40" w:after="40"/>
      <w:ind w:left="284"/>
    </w:pPr>
    <w:rPr>
      <w:rFonts w:ascii="Times New Roman" w:hAnsi="Times New Roman"/>
    </w:rPr>
  </w:style>
  <w:style w:type="paragraph" w:styleId="TOC1">
    <w:name w:val="toc 1"/>
    <w:basedOn w:val="TOCBase"/>
    <w:next w:val="Normal"/>
    <w:rsid w:val="002C3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362"/>
    <w:rPr>
      <w:rFonts w:ascii="Times New Roman" w:eastAsia="Times New Roman" w:hAnsi="Times New Roman" w:cs="Times New Roman"/>
      <w:sz w:val="16"/>
      <w:lang w:eastAsia="en-US"/>
    </w:rPr>
  </w:style>
  <w:style w:type="paragraph" w:styleId="Title">
    <w:name w:val="Title"/>
    <w:basedOn w:val="HeadingBase"/>
    <w:link w:val="TitleChar"/>
    <w:qFormat/>
    <w:rsid w:val="002C3362"/>
    <w:pPr>
      <w:spacing w:before="5040"/>
      <w:jc w:val="center"/>
    </w:pPr>
    <w:rPr>
      <w:sz w:val="48"/>
      <w:szCs w:val="72"/>
      <w:lang w:val="en-US"/>
    </w:rPr>
  </w:style>
  <w:style w:type="character" w:customStyle="1" w:styleId="TitleChar">
    <w:name w:val="Title Char"/>
    <w:basedOn w:val="DefaultParagraphFont"/>
    <w:link w:val="Title"/>
    <w:rsid w:val="002C3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362"/>
    <w:pPr>
      <w:tabs>
        <w:tab w:val="left" w:pos="3600"/>
        <w:tab w:val="left" w:pos="3958"/>
      </w:tabs>
    </w:pPr>
  </w:style>
  <w:style w:type="paragraph" w:customStyle="1" w:styleId="Note">
    <w:name w:val="Note"/>
    <w:basedOn w:val="BodyText"/>
    <w:rsid w:val="002C3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362"/>
    <w:pPr>
      <w:framePr w:wrap="auto" w:hAnchor="text" w:y="6049"/>
    </w:pPr>
    <w:rPr>
      <w:color w:val="000000"/>
      <w:sz w:val="40"/>
    </w:rPr>
  </w:style>
  <w:style w:type="paragraph" w:customStyle="1" w:styleId="TOCTitle">
    <w:name w:val="TOCTitle"/>
    <w:basedOn w:val="Heading1"/>
    <w:rsid w:val="002C3362"/>
    <w:pPr>
      <w:spacing w:after="240"/>
      <w:jc w:val="center"/>
      <w:outlineLvl w:val="9"/>
    </w:pPr>
    <w:rPr>
      <w:caps/>
    </w:rPr>
  </w:style>
  <w:style w:type="paragraph" w:customStyle="1" w:styleId="Version">
    <w:name w:val="Version"/>
    <w:rsid w:val="002C33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362"/>
    <w:pPr>
      <w:numPr>
        <w:numId w:val="12"/>
      </w:numPr>
      <w:tabs>
        <w:tab w:val="clear" w:pos="680"/>
      </w:tabs>
    </w:pPr>
  </w:style>
  <w:style w:type="paragraph" w:styleId="Index1">
    <w:name w:val="index 1"/>
    <w:basedOn w:val="Normal"/>
    <w:next w:val="Normal"/>
    <w:semiHidden/>
    <w:rsid w:val="002C3362"/>
    <w:pPr>
      <w:keepNext w:val="0"/>
      <w:tabs>
        <w:tab w:val="right" w:pos="4176"/>
      </w:tabs>
      <w:ind w:left="198" w:hanging="198"/>
    </w:pPr>
    <w:rPr>
      <w:rFonts w:ascii="Garamond" w:hAnsi="Garamond"/>
    </w:rPr>
  </w:style>
  <w:style w:type="paragraph" w:styleId="IndexHeading">
    <w:name w:val="index heading"/>
    <w:basedOn w:val="Normal"/>
    <w:next w:val="Index1"/>
    <w:semiHidden/>
    <w:rsid w:val="002C3362"/>
    <w:pPr>
      <w:spacing w:before="120" w:after="120"/>
    </w:pPr>
    <w:rPr>
      <w:rFonts w:ascii="Arial" w:hAnsi="Arial"/>
      <w:b/>
      <w:color w:val="918585"/>
      <w:sz w:val="24"/>
    </w:rPr>
  </w:style>
  <w:style w:type="paragraph" w:styleId="Header">
    <w:name w:val="header"/>
    <w:basedOn w:val="Normal"/>
    <w:link w:val="HeaderChar"/>
    <w:rsid w:val="002C3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362"/>
    <w:rPr>
      <w:rFonts w:ascii="Times New Roman" w:eastAsia="Times New Roman" w:hAnsi="Times New Roman" w:cs="Times New Roman"/>
      <w:sz w:val="16"/>
      <w:szCs w:val="20"/>
      <w:lang w:val="en-GB" w:eastAsia="en-US"/>
    </w:rPr>
  </w:style>
  <w:style w:type="paragraph" w:customStyle="1" w:styleId="Chapter">
    <w:name w:val="Chapter"/>
    <w:basedOn w:val="Normal"/>
    <w:rsid w:val="002C3362"/>
    <w:pPr>
      <w:spacing w:before="240"/>
    </w:pPr>
    <w:rPr>
      <w:rFonts w:ascii="Times New Roman" w:hAnsi="Times New Roman"/>
      <w:smallCaps/>
      <w:spacing w:val="80"/>
      <w:sz w:val="28"/>
    </w:rPr>
  </w:style>
  <w:style w:type="paragraph" w:customStyle="1" w:styleId="InChapter">
    <w:name w:val="InChapter"/>
    <w:basedOn w:val="Heading3"/>
    <w:rsid w:val="002C3362"/>
    <w:pPr>
      <w:spacing w:after="240"/>
      <w:outlineLvl w:val="9"/>
    </w:pPr>
    <w:rPr>
      <w:noProof/>
    </w:rPr>
  </w:style>
  <w:style w:type="paragraph" w:styleId="Index2">
    <w:name w:val="index 2"/>
    <w:basedOn w:val="Normal"/>
    <w:next w:val="Normal"/>
    <w:semiHidden/>
    <w:rsid w:val="002C3362"/>
    <w:pPr>
      <w:tabs>
        <w:tab w:val="right" w:pos="4176"/>
      </w:tabs>
      <w:ind w:left="568" w:hanging="284"/>
    </w:pPr>
    <w:rPr>
      <w:rFonts w:ascii="Garamond" w:hAnsi="Garamond"/>
    </w:rPr>
  </w:style>
  <w:style w:type="paragraph" w:customStyle="1" w:styleId="Byline">
    <w:name w:val="Byline"/>
    <w:rsid w:val="002C3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362"/>
    <w:pPr>
      <w:tabs>
        <w:tab w:val="clear" w:pos="3600"/>
        <w:tab w:val="clear" w:pos="3958"/>
      </w:tabs>
      <w:jc w:val="right"/>
    </w:pPr>
  </w:style>
  <w:style w:type="paragraph" w:styleId="Caption">
    <w:name w:val="caption"/>
    <w:basedOn w:val="BodyText"/>
    <w:next w:val="Normal"/>
    <w:qFormat/>
    <w:rsid w:val="002C3362"/>
    <w:pPr>
      <w:framePr w:w="2268" w:hSpace="181" w:vSpace="181" w:wrap="around" w:vAnchor="text" w:hAnchor="page" w:x="1135" w:y="285" w:anchorLock="1"/>
    </w:pPr>
    <w:rPr>
      <w:i/>
    </w:rPr>
  </w:style>
  <w:style w:type="paragraph" w:customStyle="1" w:styleId="MiniTOCTitle">
    <w:name w:val="MiniTOCTitle"/>
    <w:basedOn w:val="Heading4"/>
    <w:rsid w:val="002C3362"/>
    <w:pPr>
      <w:spacing w:before="240"/>
      <w:outlineLvl w:val="9"/>
    </w:pPr>
    <w:rPr>
      <w:noProof/>
      <w:sz w:val="24"/>
    </w:rPr>
  </w:style>
  <w:style w:type="paragraph" w:customStyle="1" w:styleId="MiniTOCItem">
    <w:name w:val="MiniTOCItem"/>
    <w:basedOn w:val="ListBullet"/>
    <w:rsid w:val="002C3362"/>
    <w:pPr>
      <w:numPr>
        <w:numId w:val="0"/>
      </w:numPr>
      <w:tabs>
        <w:tab w:val="right" w:leader="dot" w:pos="6521"/>
      </w:tabs>
      <w:spacing w:before="0" w:after="0"/>
    </w:pPr>
  </w:style>
  <w:style w:type="paragraph" w:customStyle="1" w:styleId="TOFTitle">
    <w:name w:val="TOFTitle"/>
    <w:basedOn w:val="TOCTitle"/>
    <w:rsid w:val="002C3362"/>
  </w:style>
  <w:style w:type="paragraph" w:styleId="TableofFigures">
    <w:name w:val="table of figures"/>
    <w:basedOn w:val="Normal"/>
    <w:next w:val="Normal"/>
    <w:semiHidden/>
    <w:rsid w:val="002C3362"/>
    <w:pPr>
      <w:tabs>
        <w:tab w:val="right" w:leader="dot" w:pos="9072"/>
      </w:tabs>
      <w:ind w:left="970" w:hanging="403"/>
    </w:pPr>
    <w:rPr>
      <w:rFonts w:ascii="Times New Roman" w:hAnsi="Times New Roman"/>
      <w:b/>
    </w:rPr>
  </w:style>
  <w:style w:type="paragraph" w:styleId="ListNumber">
    <w:name w:val="List Number"/>
    <w:basedOn w:val="List"/>
    <w:rsid w:val="002C3362"/>
    <w:pPr>
      <w:numPr>
        <w:numId w:val="14"/>
      </w:numPr>
      <w:tabs>
        <w:tab w:val="clear" w:pos="340"/>
      </w:tabs>
    </w:pPr>
  </w:style>
  <w:style w:type="character" w:customStyle="1" w:styleId="WingdingSymbols">
    <w:name w:val="Wingding Symbols"/>
    <w:rsid w:val="002C3362"/>
    <w:rPr>
      <w:rFonts w:ascii="Wingdings" w:hAnsi="Wingdings"/>
    </w:rPr>
  </w:style>
  <w:style w:type="paragraph" w:customStyle="1" w:styleId="TableHeading">
    <w:name w:val="Table Heading"/>
    <w:basedOn w:val="HeadingBase"/>
    <w:rsid w:val="002C3362"/>
    <w:pPr>
      <w:keepLines/>
      <w:pBdr>
        <w:bottom w:val="single" w:sz="6" w:space="1" w:color="918585"/>
      </w:pBdr>
      <w:spacing w:before="240"/>
    </w:pPr>
  </w:style>
  <w:style w:type="character" w:customStyle="1" w:styleId="HotSpot">
    <w:name w:val="HotSpot"/>
    <w:rsid w:val="002C3362"/>
    <w:rPr>
      <w:color w:val="0033CC"/>
      <w:u w:val="none"/>
    </w:rPr>
  </w:style>
  <w:style w:type="paragraph" w:customStyle="1" w:styleId="BodyTextRight">
    <w:name w:val="Body Text Right"/>
    <w:basedOn w:val="BodyText"/>
    <w:rsid w:val="002C3362"/>
    <w:pPr>
      <w:spacing w:before="0" w:after="0"/>
      <w:jc w:val="right"/>
    </w:pPr>
  </w:style>
  <w:style w:type="paragraph" w:styleId="Index3">
    <w:name w:val="index 3"/>
    <w:basedOn w:val="ListNumber2"/>
    <w:next w:val="Normal"/>
    <w:semiHidden/>
    <w:rsid w:val="002C3362"/>
    <w:pPr>
      <w:numPr>
        <w:numId w:val="0"/>
      </w:numPr>
      <w:tabs>
        <w:tab w:val="right" w:leader="dot" w:pos="4176"/>
      </w:tabs>
    </w:pPr>
  </w:style>
  <w:style w:type="paragraph" w:styleId="ListNumber2">
    <w:name w:val="List Number 2"/>
    <w:basedOn w:val="List2"/>
    <w:rsid w:val="002C3362"/>
    <w:pPr>
      <w:numPr>
        <w:numId w:val="9"/>
      </w:numPr>
      <w:tabs>
        <w:tab w:val="clear" w:pos="1060"/>
      </w:tabs>
    </w:pPr>
  </w:style>
  <w:style w:type="paragraph" w:customStyle="1" w:styleId="MarginNote">
    <w:name w:val="Margin Note"/>
    <w:basedOn w:val="BodyText"/>
    <w:rsid w:val="002C3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362"/>
    <w:rPr>
      <w:sz w:val="32"/>
    </w:rPr>
  </w:style>
  <w:style w:type="paragraph" w:customStyle="1" w:styleId="HeadingProcedure">
    <w:name w:val="Heading Procedure"/>
    <w:basedOn w:val="HeadingBase"/>
    <w:next w:val="Normal"/>
    <w:rsid w:val="002C3362"/>
    <w:pPr>
      <w:tabs>
        <w:tab w:val="left" w:pos="0"/>
      </w:tabs>
      <w:spacing w:before="120" w:after="60"/>
    </w:pPr>
    <w:rPr>
      <w:i/>
      <w:color w:val="918585"/>
      <w:sz w:val="22"/>
    </w:rPr>
  </w:style>
  <w:style w:type="paragraph" w:customStyle="1" w:styleId="TableBodyText">
    <w:name w:val="Table Body Text"/>
    <w:basedOn w:val="BodyText"/>
    <w:rsid w:val="002C3362"/>
    <w:pPr>
      <w:spacing w:before="60" w:after="60"/>
    </w:pPr>
  </w:style>
  <w:style w:type="paragraph" w:styleId="ListContinue">
    <w:name w:val="List Continue"/>
    <w:basedOn w:val="List"/>
    <w:rsid w:val="002C3362"/>
    <w:pPr>
      <w:ind w:firstLine="0"/>
    </w:pPr>
  </w:style>
  <w:style w:type="paragraph" w:customStyle="1" w:styleId="ListNote">
    <w:name w:val="List Note"/>
    <w:basedOn w:val="List"/>
    <w:rsid w:val="002C3362"/>
    <w:pPr>
      <w:pBdr>
        <w:top w:val="single" w:sz="6" w:space="2" w:color="918585"/>
        <w:bottom w:val="single" w:sz="6" w:space="2" w:color="918585"/>
      </w:pBdr>
      <w:tabs>
        <w:tab w:val="left" w:pos="1021"/>
      </w:tabs>
      <w:ind w:firstLine="0"/>
    </w:pPr>
  </w:style>
  <w:style w:type="paragraph" w:customStyle="1" w:styleId="Warning">
    <w:name w:val="Warning"/>
    <w:basedOn w:val="BodyText"/>
    <w:rsid w:val="002C3362"/>
    <w:pPr>
      <w:shd w:val="clear" w:color="auto" w:fill="D9D9D9"/>
      <w:tabs>
        <w:tab w:val="left" w:pos="992"/>
      </w:tabs>
      <w:ind w:left="119" w:right="119"/>
    </w:pPr>
    <w:rPr>
      <w:sz w:val="20"/>
    </w:rPr>
  </w:style>
  <w:style w:type="paragraph" w:customStyle="1" w:styleId="MarginIcons">
    <w:name w:val="Margin Icons"/>
    <w:basedOn w:val="BodyText"/>
    <w:rsid w:val="002C3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362"/>
    <w:rPr>
      <w:rFonts w:ascii="Courier New" w:hAnsi="Courier New"/>
    </w:rPr>
  </w:style>
  <w:style w:type="paragraph" w:customStyle="1" w:styleId="NoteBullet">
    <w:name w:val="Note Bullet"/>
    <w:basedOn w:val="Note"/>
    <w:rsid w:val="002C3362"/>
    <w:pPr>
      <w:tabs>
        <w:tab w:val="clear" w:pos="680"/>
      </w:tabs>
      <w:spacing w:before="60" w:after="60"/>
    </w:pPr>
  </w:style>
  <w:style w:type="paragraph" w:customStyle="1" w:styleId="SubHeading2">
    <w:name w:val="SubHeading2"/>
    <w:basedOn w:val="HeadingBase"/>
    <w:rsid w:val="002C3362"/>
    <w:pPr>
      <w:spacing w:before="240" w:after="60"/>
    </w:pPr>
    <w:rPr>
      <w:sz w:val="20"/>
    </w:rPr>
  </w:style>
  <w:style w:type="paragraph" w:customStyle="1" w:styleId="SubHeading1">
    <w:name w:val="SubHeading1"/>
    <w:basedOn w:val="HeadingBase"/>
    <w:rsid w:val="002C3362"/>
    <w:pPr>
      <w:spacing w:before="240" w:after="60"/>
    </w:pPr>
    <w:rPr>
      <w:color w:val="918585"/>
      <w:sz w:val="22"/>
    </w:rPr>
  </w:style>
  <w:style w:type="paragraph" w:customStyle="1" w:styleId="SideHeading">
    <w:name w:val="Side Heading"/>
    <w:basedOn w:val="HeadingBase"/>
    <w:rsid w:val="002C3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362"/>
    <w:pPr>
      <w:numPr>
        <w:numId w:val="10"/>
      </w:numPr>
    </w:pPr>
  </w:style>
  <w:style w:type="paragraph" w:styleId="PlainText">
    <w:name w:val="Plain Text"/>
    <w:basedOn w:val="Normal"/>
    <w:link w:val="PlainTextChar"/>
    <w:rsid w:val="002C3362"/>
    <w:rPr>
      <w:sz w:val="20"/>
    </w:rPr>
  </w:style>
  <w:style w:type="character" w:customStyle="1" w:styleId="PlainTextChar">
    <w:name w:val="Plain Text Char"/>
    <w:basedOn w:val="DefaultParagraphFont"/>
    <w:link w:val="PlainText"/>
    <w:rsid w:val="002C3362"/>
    <w:rPr>
      <w:rFonts w:ascii="Courier New" w:eastAsia="Times New Roman" w:hAnsi="Courier New" w:cs="Times New Roman"/>
      <w:sz w:val="20"/>
      <w:szCs w:val="20"/>
      <w:lang w:eastAsia="en-US"/>
    </w:rPr>
  </w:style>
  <w:style w:type="character" w:customStyle="1" w:styleId="MenuOption">
    <w:name w:val="Menu Option"/>
    <w:basedOn w:val="DefaultParagraphFont"/>
    <w:rsid w:val="002C3362"/>
    <w:rPr>
      <w:b/>
      <w:smallCaps/>
    </w:rPr>
  </w:style>
  <w:style w:type="paragraph" w:customStyle="1" w:styleId="TableListNumber">
    <w:name w:val="Table List Number"/>
    <w:basedOn w:val="ListNumber"/>
    <w:rsid w:val="002C3362"/>
    <w:pPr>
      <w:numPr>
        <w:numId w:val="0"/>
      </w:numPr>
    </w:pPr>
  </w:style>
  <w:style w:type="paragraph" w:styleId="TOC4">
    <w:name w:val="toc 4"/>
    <w:basedOn w:val="TOCBase"/>
    <w:next w:val="Normal"/>
    <w:semiHidden/>
    <w:rsid w:val="002C3362"/>
    <w:pPr>
      <w:tabs>
        <w:tab w:val="right" w:leader="dot" w:pos="9071"/>
      </w:tabs>
      <w:ind w:left="1701"/>
    </w:pPr>
  </w:style>
  <w:style w:type="paragraph" w:customStyle="1" w:styleId="ListAlpha">
    <w:name w:val="List Alpha"/>
    <w:basedOn w:val="List"/>
    <w:rsid w:val="002C3362"/>
    <w:pPr>
      <w:numPr>
        <w:numId w:val="8"/>
      </w:numPr>
    </w:pPr>
  </w:style>
  <w:style w:type="paragraph" w:customStyle="1" w:styleId="ListAlpha2">
    <w:name w:val="List Alpha 2"/>
    <w:basedOn w:val="List2"/>
    <w:rsid w:val="002C3362"/>
    <w:pPr>
      <w:numPr>
        <w:numId w:val="7"/>
      </w:numPr>
    </w:pPr>
  </w:style>
  <w:style w:type="paragraph" w:styleId="List2">
    <w:name w:val="List 2"/>
    <w:basedOn w:val="BodyText"/>
    <w:rsid w:val="002C3362"/>
    <w:pPr>
      <w:tabs>
        <w:tab w:val="left" w:pos="680"/>
      </w:tabs>
      <w:spacing w:before="60" w:after="60"/>
      <w:ind w:left="680" w:hanging="340"/>
    </w:pPr>
  </w:style>
  <w:style w:type="paragraph" w:styleId="List3">
    <w:name w:val="List 3"/>
    <w:basedOn w:val="BodyText"/>
    <w:rsid w:val="002C3362"/>
    <w:pPr>
      <w:tabs>
        <w:tab w:val="left" w:pos="1021"/>
      </w:tabs>
      <w:spacing w:before="60" w:after="60"/>
      <w:ind w:left="1020" w:hanging="340"/>
    </w:pPr>
  </w:style>
  <w:style w:type="paragraph" w:styleId="List4">
    <w:name w:val="List 4"/>
    <w:basedOn w:val="BodyText"/>
    <w:rsid w:val="002C3362"/>
    <w:pPr>
      <w:tabs>
        <w:tab w:val="left" w:pos="1361"/>
      </w:tabs>
      <w:spacing w:before="60" w:after="60"/>
      <w:ind w:left="1361" w:hanging="340"/>
    </w:pPr>
  </w:style>
  <w:style w:type="paragraph" w:styleId="List5">
    <w:name w:val="List 5"/>
    <w:basedOn w:val="BodyText"/>
    <w:rsid w:val="002C3362"/>
    <w:pPr>
      <w:tabs>
        <w:tab w:val="left" w:pos="1701"/>
      </w:tabs>
      <w:spacing w:before="60" w:after="60"/>
      <w:ind w:left="1701" w:hanging="340"/>
    </w:pPr>
  </w:style>
  <w:style w:type="paragraph" w:styleId="ListBullet3">
    <w:name w:val="List Bullet 3"/>
    <w:basedOn w:val="List3"/>
    <w:rsid w:val="002C3362"/>
    <w:pPr>
      <w:numPr>
        <w:numId w:val="13"/>
      </w:numPr>
      <w:tabs>
        <w:tab w:val="clear" w:pos="1021"/>
      </w:tabs>
      <w:ind w:left="1037" w:hanging="357"/>
    </w:pPr>
  </w:style>
  <w:style w:type="paragraph" w:styleId="ListBullet4">
    <w:name w:val="List Bullet 4"/>
    <w:basedOn w:val="List4"/>
    <w:rsid w:val="002C3362"/>
    <w:pPr>
      <w:numPr>
        <w:numId w:val="2"/>
      </w:numPr>
      <w:tabs>
        <w:tab w:val="clear" w:pos="1361"/>
      </w:tabs>
    </w:pPr>
  </w:style>
  <w:style w:type="paragraph" w:styleId="ListBullet5">
    <w:name w:val="List Bullet 5"/>
    <w:basedOn w:val="List5"/>
    <w:rsid w:val="002C3362"/>
    <w:pPr>
      <w:numPr>
        <w:numId w:val="3"/>
      </w:numPr>
    </w:pPr>
  </w:style>
  <w:style w:type="paragraph" w:styleId="ListContinue2">
    <w:name w:val="List Continue 2"/>
    <w:basedOn w:val="List2"/>
    <w:rsid w:val="002C3362"/>
    <w:pPr>
      <w:ind w:firstLine="0"/>
    </w:pPr>
  </w:style>
  <w:style w:type="paragraph" w:styleId="ListContinue3">
    <w:name w:val="List Continue 3"/>
    <w:basedOn w:val="List3"/>
    <w:rsid w:val="002C3362"/>
    <w:pPr>
      <w:ind w:left="1021" w:firstLine="0"/>
    </w:pPr>
  </w:style>
  <w:style w:type="paragraph" w:styleId="ListContinue4">
    <w:name w:val="List Continue 4"/>
    <w:basedOn w:val="List4"/>
    <w:rsid w:val="002C3362"/>
    <w:pPr>
      <w:ind w:firstLine="0"/>
    </w:pPr>
  </w:style>
  <w:style w:type="paragraph" w:styleId="ListContinue5">
    <w:name w:val="List Continue 5"/>
    <w:basedOn w:val="List5"/>
    <w:rsid w:val="002C3362"/>
    <w:pPr>
      <w:ind w:firstLine="0"/>
    </w:pPr>
  </w:style>
  <w:style w:type="paragraph" w:styleId="ListNumber3">
    <w:name w:val="List Number 3"/>
    <w:basedOn w:val="List3"/>
    <w:rsid w:val="002C3362"/>
    <w:pPr>
      <w:numPr>
        <w:numId w:val="4"/>
      </w:numPr>
    </w:pPr>
  </w:style>
  <w:style w:type="paragraph" w:styleId="ListNumber4">
    <w:name w:val="List Number 4"/>
    <w:basedOn w:val="List4"/>
    <w:rsid w:val="002C3362"/>
    <w:pPr>
      <w:numPr>
        <w:numId w:val="5"/>
      </w:numPr>
    </w:pPr>
  </w:style>
  <w:style w:type="paragraph" w:styleId="ListNumber5">
    <w:name w:val="List Number 5"/>
    <w:basedOn w:val="List5"/>
    <w:rsid w:val="002C3362"/>
    <w:pPr>
      <w:numPr>
        <w:numId w:val="6"/>
      </w:numPr>
    </w:pPr>
  </w:style>
  <w:style w:type="paragraph" w:styleId="BlockText">
    <w:name w:val="Block Text"/>
    <w:basedOn w:val="Normal"/>
    <w:rsid w:val="002C3362"/>
    <w:pPr>
      <w:spacing w:after="120"/>
      <w:ind w:left="1440" w:right="1440"/>
    </w:pPr>
  </w:style>
  <w:style w:type="character" w:customStyle="1" w:styleId="Subscript">
    <w:name w:val="Subscript"/>
    <w:basedOn w:val="DefaultParagraphFont"/>
    <w:rsid w:val="002C3362"/>
    <w:rPr>
      <w:sz w:val="16"/>
      <w:vertAlign w:val="subscript"/>
    </w:rPr>
  </w:style>
  <w:style w:type="character" w:customStyle="1" w:styleId="Superscript">
    <w:name w:val="Superscript"/>
    <w:basedOn w:val="DefaultParagraphFont"/>
    <w:rsid w:val="002C3362"/>
    <w:rPr>
      <w:sz w:val="16"/>
      <w:vertAlign w:val="superscript"/>
    </w:rPr>
  </w:style>
  <w:style w:type="character" w:customStyle="1" w:styleId="Symbols">
    <w:name w:val="Symbols"/>
    <w:basedOn w:val="DefaultParagraphFont"/>
    <w:rsid w:val="002C3362"/>
    <w:rPr>
      <w:rFonts w:ascii="Symbol" w:hAnsi="Symbol"/>
    </w:rPr>
  </w:style>
  <w:style w:type="character" w:customStyle="1" w:styleId="MenuOptions">
    <w:name w:val="Menu Options"/>
    <w:basedOn w:val="DefaultParagraphFont"/>
    <w:rsid w:val="002C3362"/>
    <w:rPr>
      <w:rFonts w:ascii="Arial Narrow" w:hAnsi="Arial Narrow"/>
      <w:smallCaps/>
    </w:rPr>
  </w:style>
  <w:style w:type="character" w:customStyle="1" w:styleId="Buttons">
    <w:name w:val="Buttons"/>
    <w:basedOn w:val="DefaultParagraphFont"/>
    <w:rsid w:val="002C3362"/>
    <w:rPr>
      <w:b/>
    </w:rPr>
  </w:style>
  <w:style w:type="character" w:customStyle="1" w:styleId="Underlined">
    <w:name w:val="Underlined"/>
    <w:basedOn w:val="DefaultParagraphFont"/>
    <w:rsid w:val="002C3362"/>
    <w:rPr>
      <w:u w:val="single"/>
    </w:rPr>
  </w:style>
  <w:style w:type="paragraph" w:customStyle="1" w:styleId="TableBodyTextRight">
    <w:name w:val="Table Body Text Right"/>
    <w:basedOn w:val="TableBodyText"/>
    <w:rsid w:val="002C3362"/>
    <w:pPr>
      <w:widowControl w:val="0"/>
      <w:autoSpaceDE w:val="0"/>
      <w:autoSpaceDN w:val="0"/>
      <w:adjustRightInd w:val="0"/>
      <w:jc w:val="right"/>
    </w:pPr>
    <w:rPr>
      <w:rFonts w:cs="Arial"/>
      <w:szCs w:val="18"/>
    </w:rPr>
  </w:style>
  <w:style w:type="paragraph" w:customStyle="1" w:styleId="CopyrightText">
    <w:name w:val="Copyright Text"/>
    <w:basedOn w:val="BodyText"/>
    <w:rsid w:val="002C3362"/>
    <w:rPr>
      <w:sz w:val="18"/>
    </w:rPr>
  </w:style>
  <w:style w:type="paragraph" w:customStyle="1" w:styleId="BodySmallRight">
    <w:name w:val="Body Small Right"/>
    <w:basedOn w:val="BodyTextRight"/>
    <w:rsid w:val="002C3362"/>
    <w:rPr>
      <w:sz w:val="18"/>
      <w:szCs w:val="18"/>
    </w:rPr>
  </w:style>
  <w:style w:type="paragraph" w:customStyle="1" w:styleId="MarginEdition">
    <w:name w:val="Margin Edition"/>
    <w:basedOn w:val="MarginNote"/>
    <w:rsid w:val="002C3362"/>
    <w:pPr>
      <w:spacing w:before="0" w:after="0"/>
    </w:pPr>
    <w:rPr>
      <w:rFonts w:ascii="Times New Roman" w:hAnsi="Times New Roman"/>
      <w:color w:val="999999"/>
    </w:rPr>
  </w:style>
  <w:style w:type="paragraph" w:customStyle="1" w:styleId="Spacer">
    <w:name w:val="Spacer"/>
    <w:basedOn w:val="Normal"/>
    <w:rsid w:val="002C3362"/>
    <w:rPr>
      <w:sz w:val="2"/>
      <w:szCs w:val="2"/>
    </w:rPr>
  </w:style>
  <w:style w:type="character" w:customStyle="1" w:styleId="Small">
    <w:name w:val="Small"/>
    <w:basedOn w:val="DefaultParagraphFont"/>
    <w:rsid w:val="002C3362"/>
    <w:rPr>
      <w:sz w:val="16"/>
    </w:rPr>
  </w:style>
  <w:style w:type="paragraph" w:customStyle="1" w:styleId="WideTable">
    <w:name w:val="Wide Table"/>
    <w:basedOn w:val="Normal"/>
    <w:rsid w:val="002C3362"/>
    <w:pPr>
      <w:ind w:left="-1418"/>
    </w:pPr>
    <w:rPr>
      <w:sz w:val="2"/>
      <w:szCs w:val="2"/>
    </w:rPr>
  </w:style>
  <w:style w:type="character" w:styleId="PageNumber">
    <w:name w:val="page number"/>
    <w:basedOn w:val="DefaultParagraphFont"/>
    <w:rsid w:val="002C3362"/>
  </w:style>
  <w:style w:type="paragraph" w:styleId="Quote">
    <w:name w:val="Quote"/>
    <w:basedOn w:val="Heading1"/>
    <w:link w:val="QuoteChar"/>
    <w:qFormat/>
    <w:rsid w:val="002C3362"/>
    <w:rPr>
      <w:b w:val="0"/>
      <w:sz w:val="72"/>
      <w:szCs w:val="72"/>
      <w:lang w:val="en-NZ"/>
    </w:rPr>
  </w:style>
  <w:style w:type="character" w:customStyle="1" w:styleId="QuoteChar">
    <w:name w:val="Quote Char"/>
    <w:basedOn w:val="DefaultParagraphFont"/>
    <w:link w:val="Quote"/>
    <w:rsid w:val="002C3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362"/>
    <w:pPr>
      <w:pageBreakBefore/>
    </w:pPr>
  </w:style>
  <w:style w:type="paragraph" w:customStyle="1" w:styleId="Border">
    <w:name w:val="Border"/>
    <w:basedOn w:val="Normal"/>
    <w:qFormat/>
    <w:rsid w:val="002C3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362"/>
    <w:rPr>
      <w:b/>
      <w:bCs/>
      <w:i/>
      <w:iCs/>
      <w:color w:val="auto"/>
    </w:rPr>
  </w:style>
  <w:style w:type="paragraph" w:styleId="IntenseQuote">
    <w:name w:val="Intense Quote"/>
    <w:basedOn w:val="Normal"/>
    <w:next w:val="Normal"/>
    <w:link w:val="IntenseQuoteChar"/>
    <w:uiPriority w:val="30"/>
    <w:qFormat/>
    <w:rsid w:val="002C3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362"/>
    <w:rPr>
      <w:smallCaps/>
      <w:color w:val="auto"/>
      <w:u w:val="single"/>
    </w:rPr>
  </w:style>
  <w:style w:type="character" w:styleId="IntenseReference">
    <w:name w:val="Intense Reference"/>
    <w:basedOn w:val="DefaultParagraphFont"/>
    <w:uiPriority w:val="32"/>
    <w:qFormat/>
    <w:rsid w:val="002C3362"/>
    <w:rPr>
      <w:b/>
      <w:bCs/>
      <w:smallCaps/>
      <w:color w:val="auto"/>
      <w:spacing w:val="5"/>
      <w:u w:val="single"/>
    </w:rPr>
  </w:style>
  <w:style w:type="paragraph" w:customStyle="1" w:styleId="2ColumnHeading">
    <w:name w:val="2Column Heading"/>
    <w:basedOn w:val="BodyText"/>
    <w:qFormat/>
    <w:rsid w:val="002C3362"/>
    <w:pPr>
      <w:spacing w:after="60"/>
      <w:ind w:left="-2268"/>
    </w:pPr>
    <w:rPr>
      <w:b/>
    </w:rPr>
  </w:style>
  <w:style w:type="paragraph" w:customStyle="1" w:styleId="Heading1TOC">
    <w:name w:val="Heading1 TOC"/>
    <w:basedOn w:val="Normal"/>
    <w:qFormat/>
    <w:rsid w:val="002C3362"/>
    <w:pPr>
      <w:spacing w:before="240" w:after="120"/>
    </w:pPr>
    <w:rPr>
      <w:rFonts w:ascii="Times New Roman" w:hAnsi="Times New Roman"/>
      <w:b/>
      <w:sz w:val="32"/>
    </w:rPr>
  </w:style>
  <w:style w:type="paragraph" w:customStyle="1" w:styleId="Heading2TOC">
    <w:name w:val="Heading2 TOC"/>
    <w:basedOn w:val="Normal"/>
    <w:qFormat/>
    <w:rsid w:val="002C3362"/>
    <w:pPr>
      <w:spacing w:before="240" w:after="60"/>
    </w:pPr>
    <w:rPr>
      <w:rFonts w:ascii="Times New Roman" w:hAnsi="Times New Roman"/>
      <w:b/>
      <w:sz w:val="28"/>
    </w:rPr>
  </w:style>
  <w:style w:type="character" w:customStyle="1" w:styleId="Underline">
    <w:name w:val="Underline"/>
    <w:basedOn w:val="DefaultParagraphFont"/>
    <w:qFormat/>
    <w:rsid w:val="002C3362"/>
    <w:rPr>
      <w:u w:val="single"/>
    </w:rPr>
  </w:style>
  <w:style w:type="character" w:customStyle="1" w:styleId="BoldandItalics">
    <w:name w:val="Bold and Italics"/>
    <w:qFormat/>
    <w:rsid w:val="002C3362"/>
    <w:rPr>
      <w:b/>
      <w:i/>
      <w:u w:val="none"/>
    </w:rPr>
  </w:style>
  <w:style w:type="paragraph" w:styleId="BalloonText">
    <w:name w:val="Balloon Text"/>
    <w:basedOn w:val="Normal"/>
    <w:link w:val="BalloonTextChar"/>
    <w:rsid w:val="002C3362"/>
    <w:rPr>
      <w:rFonts w:ascii="Tahoma" w:hAnsi="Tahoma" w:cs="Tahoma"/>
      <w:sz w:val="16"/>
      <w:szCs w:val="16"/>
    </w:rPr>
  </w:style>
  <w:style w:type="character" w:customStyle="1" w:styleId="BalloonTextChar">
    <w:name w:val="Balloon Text Char"/>
    <w:basedOn w:val="DefaultParagraphFont"/>
    <w:link w:val="BalloonText"/>
    <w:rsid w:val="002C3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362"/>
    <w:rPr>
      <w:b/>
      <w:color w:val="660033"/>
      <w:spacing w:val="0"/>
    </w:rPr>
  </w:style>
  <w:style w:type="paragraph" w:customStyle="1" w:styleId="Nameditemlist">
    <w:name w:val="Named item list"/>
    <w:basedOn w:val="BodyText"/>
    <w:qFormat/>
    <w:rsid w:val="002C3362"/>
    <w:pPr>
      <w:tabs>
        <w:tab w:val="left" w:pos="2835"/>
      </w:tabs>
      <w:ind w:left="2835" w:hanging="2835"/>
    </w:pPr>
  </w:style>
  <w:style w:type="paragraph" w:customStyle="1" w:styleId="BodyTextnopadding">
    <w:name w:val="Body Text no padding"/>
    <w:basedOn w:val="BodyText"/>
    <w:qFormat/>
    <w:rsid w:val="002C3362"/>
    <w:pPr>
      <w:spacing w:before="0" w:after="0"/>
    </w:pPr>
  </w:style>
  <w:style w:type="paragraph" w:customStyle="1" w:styleId="BodyTextBold">
    <w:name w:val="Body Text Bold"/>
    <w:basedOn w:val="BodyText"/>
    <w:qFormat/>
    <w:rsid w:val="002C3362"/>
    <w:rPr>
      <w:b/>
    </w:rPr>
  </w:style>
  <w:style w:type="character" w:styleId="Hyperlink">
    <w:name w:val="Hyperlink"/>
    <w:basedOn w:val="DefaultParagraphFont"/>
    <w:uiPriority w:val="99"/>
    <w:unhideWhenUsed/>
    <w:rsid w:val="00376E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5886</Characters>
  <Application>Microsoft Office Word</Application>
  <DocSecurity>0</DocSecurity>
  <Lines>163</Lines>
  <Paragraphs>112</Paragraphs>
  <ScaleCrop>false</ScaleCrop>
  <Company>Author-it Software Corporation Ltd.</Company>
  <LinksUpToDate>false</LinksUpToDate>
  <CharactersWithSpaces>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PSPGEN133 Identify and treat risks</dc:title>
  <dc:subject>Approved</dc:subject>
  <dc:creator>Public Skills Australia</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