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30A" w:rsidP="00525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PSPGEN116 Facilitate the effective implementation of diversity and inclusion strategies</w:t>
      </w:r>
      <w:r>
        <w:fldChar w:fldCharType="end"/>
      </w:r>
    </w:p>
    <w:p w:rsidR="0052530A" w:rsidP="0052530A">
      <w:pPr>
        <w:pStyle w:val="Version"/>
        <w:sectPr w:rsidSect="00BD4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F37" w:rsidP="00BD4F37">
      <w:pPr>
        <w:pStyle w:val="SuperHeading"/>
      </w:pPr>
      <w:r w:rsidRPr="00BD4F37">
        <w:t>PSPGEN116 Facilitate the effective implementation of diversity and inclusion strategies</w:t>
      </w:r>
    </w:p>
    <w:p w:rsidR="00000000" w:rsidRPr="00BD4F37" w:rsidP="00BD4F37">
      <w:pPr>
        <w:pStyle w:val="Heading1"/>
      </w:pPr>
      <w:bookmarkStart w:id="1" w:name="O_1215501"/>
      <w:bookmarkEnd w:id="1"/>
      <w:r w:rsidRPr="00BD4F37">
        <w:t>Modification History</w:t>
      </w:r>
    </w:p>
    <w:p w:rsidR="00000000" w:rsidRPr="00BD4F37" w:rsidP="0052530A">
      <w:pPr>
        <w:pStyle w:val="BodyText"/>
      </w:pPr>
      <w:r w:rsidRPr="00BD4F37">
        <w:t xml:space="preserve">Supersedes and is not equivalent to PSPGEN047 Promote diversity. </w:t>
      </w:r>
    </w:p>
    <w:p w:rsidR="00000000" w:rsidRPr="00BD4F37" w:rsidP="00BD4F37">
      <w:pPr>
        <w:pStyle w:val="Heading1"/>
      </w:pPr>
      <w:bookmarkStart w:id="2" w:name="O_1215502"/>
      <w:bookmarkEnd w:id="2"/>
      <w:r w:rsidRPr="00BD4F37">
        <w:t>Application</w:t>
      </w:r>
    </w:p>
    <w:p w:rsidR="00000000" w:rsidRPr="00BD4F37" w:rsidP="0052530A">
      <w:pPr>
        <w:pStyle w:val="BodyText"/>
      </w:pPr>
      <w:r w:rsidRPr="00BD4F37">
        <w:t xml:space="preserve">This unit describes the performance outcomes, skills and knowledge required to facilitate the implementation of diversity and inclusion strategies within an organisation. </w:t>
      </w:r>
    </w:p>
    <w:p w:rsidR="00000000" w:rsidRPr="00BD4F37" w:rsidP="0052530A">
      <w:pPr>
        <w:pStyle w:val="BodyText"/>
      </w:pPr>
      <w:r w:rsidRPr="00BD4F37">
        <w:t>This unit applies to those working in generalist and specialist roles within the pub</w:t>
      </w:r>
      <w:r w:rsidRPr="00BD4F37">
        <w:t>lic sector. Those undertaking this unit work independently, performing complex tasks in a range of familiar contexts.</w:t>
      </w:r>
    </w:p>
    <w:p w:rsidR="00000000" w:rsidRPr="00BD4F37" w:rsidP="0052530A">
      <w:pPr>
        <w:pStyle w:val="BodyText"/>
      </w:pPr>
      <w:r w:rsidRPr="00BD4F37">
        <w:t>The skills in this unit must be applied in accordance with Commonwealth and State or Territory legislation, Australian standards and indus</w:t>
      </w:r>
      <w:r w:rsidRPr="00BD4F37">
        <w:t>try codes of practice.</w:t>
      </w:r>
    </w:p>
    <w:p w:rsidR="00000000" w:rsidRPr="00BD4F37" w:rsidP="0052530A">
      <w:pPr>
        <w:pStyle w:val="BodyText"/>
      </w:pPr>
      <w:r w:rsidRPr="00BD4F37">
        <w:t>No occupational licensing, certification or specific legislative requirements apply to this unit at the time of publication.</w:t>
      </w:r>
    </w:p>
    <w:p w:rsidR="00000000" w:rsidRPr="00BD4F37" w:rsidP="00BD4F37">
      <w:pPr>
        <w:pStyle w:val="Heading1"/>
      </w:pPr>
      <w:bookmarkStart w:id="3" w:name="O_1215503"/>
      <w:bookmarkEnd w:id="3"/>
      <w:r w:rsidRPr="00BD4F37">
        <w:t>Pre-requisite Unit</w:t>
      </w:r>
    </w:p>
    <w:p w:rsidR="00000000" w:rsidRPr="00BD4F37" w:rsidP="0052530A">
      <w:pPr>
        <w:pStyle w:val="BodyText"/>
      </w:pPr>
      <w:r w:rsidRPr="00BD4F37">
        <w:t xml:space="preserve">Nil </w:t>
      </w:r>
    </w:p>
    <w:p w:rsidR="00000000" w:rsidRPr="00BD4F37" w:rsidP="00BD4F37">
      <w:pPr>
        <w:pStyle w:val="Heading1"/>
      </w:pPr>
      <w:bookmarkStart w:id="4" w:name="O_1215504"/>
      <w:bookmarkEnd w:id="4"/>
      <w:r w:rsidRPr="00BD4F37">
        <w:t>Competency Field</w:t>
      </w:r>
    </w:p>
    <w:p w:rsidR="00000000" w:rsidRPr="00BD4F37" w:rsidP="0052530A">
      <w:pPr>
        <w:pStyle w:val="BodyText"/>
      </w:pPr>
      <w:r w:rsidRPr="00BD4F37">
        <w:t>General</w:t>
      </w:r>
    </w:p>
    <w:p w:rsidR="00000000" w:rsidRPr="00BD4F37" w:rsidP="00BD4F37">
      <w:pPr>
        <w:pStyle w:val="Heading1"/>
      </w:pPr>
      <w:bookmarkStart w:id="5" w:name="O_1215506"/>
      <w:bookmarkEnd w:id="5"/>
      <w:r w:rsidRPr="00BD4F37">
        <w:t>El</w:t>
      </w:r>
      <w:r w:rsidRPr="00BD4F37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37" w:rsidP="00BD4F37">
            <w:pPr>
              <w:pStyle w:val="BodyText"/>
            </w:pPr>
            <w:r w:rsidRPr="00BD4F3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BodyText"/>
              <w:rPr>
                <w:lang w:val="en-NZ"/>
              </w:rPr>
            </w:pPr>
            <w:r w:rsidRPr="00BD4F37">
              <w:rPr>
                <w:rStyle w:val="SpecialBold"/>
              </w:rPr>
              <w:t>PERFORMANCE</w:t>
            </w:r>
            <w:r w:rsidRPr="00BD4F37">
              <w:t xml:space="preserve"> </w:t>
            </w:r>
            <w:r w:rsidRPr="00BD4F37">
              <w:rPr>
                <w:rStyle w:val="SpecialBold"/>
              </w:rPr>
              <w:t>CRITERIA</w:t>
            </w:r>
          </w:p>
        </w:tc>
      </w:tr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37" w:rsidP="00BD4F37">
            <w:pPr>
              <w:pStyle w:val="BodyText"/>
            </w:pPr>
            <w:r w:rsidRPr="00BD4F3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BodyText"/>
              <w:rPr>
                <w:lang w:val="en-NZ"/>
              </w:rPr>
            </w:pPr>
            <w:r w:rsidRPr="00BD4F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List"/>
              <w:rPr>
                <w:lang w:val="en-NZ"/>
              </w:rPr>
            </w:pPr>
            <w:r w:rsidRPr="00BD4F37">
              <w:t>1.  Provide diversity and inclusion input to strategies, policies and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37" w:rsidP="00BD4F37">
            <w:pPr>
              <w:pStyle w:val="List"/>
            </w:pPr>
            <w:r w:rsidRPr="00BD4F37">
              <w:t>1.1. Collect, analyse and use workplace diversity data to support decisions to enhance a more diverse workforce and promote equitable outcomes.</w:t>
            </w:r>
          </w:p>
          <w:p w:rsidR="00000000" w:rsidRPr="00BD4F37" w:rsidP="00BD4F37">
            <w:pPr>
              <w:pStyle w:val="List"/>
            </w:pPr>
            <w:r w:rsidRPr="00BD4F37">
              <w:t>1.2. Ensure input to strategies, po</w:t>
            </w:r>
            <w:r w:rsidRPr="00BD4F37">
              <w:t>licies and plans is responsive to all stakeholders.</w:t>
            </w:r>
          </w:p>
          <w:p w:rsidR="00000000" w:rsidRPr="00BD4F37" w:rsidP="00BD4F37">
            <w:pPr>
              <w:pStyle w:val="List"/>
            </w:pPr>
            <w:r w:rsidRPr="00BD4F37">
              <w:t>1.3. Develop diversity and inclusion strategies through co-design and in consultation with stakeholders.</w:t>
            </w:r>
          </w:p>
          <w:p w:rsidR="00000000" w:rsidRPr="00BD4F37" w:rsidP="00BD4F37">
            <w:pPr>
              <w:pStyle w:val="List"/>
            </w:pPr>
            <w:r w:rsidRPr="00BD4F37">
              <w:t>1.4. Develop measures to evaluate the effectiveness and outcomes against policies.</w:t>
            </w:r>
          </w:p>
          <w:p w:rsidR="00000000" w:rsidRPr="00BD4F37" w:rsidP="00BD4F37">
            <w:pPr>
              <w:pStyle w:val="List"/>
            </w:pPr>
            <w:r w:rsidRPr="00BD4F37">
              <w:t>1.5. Include act</w:t>
            </w:r>
            <w:r w:rsidRPr="00BD4F37">
              <w:t>ions to address implementation of workplace diversity and inclusion objectives in workplace business plans.</w:t>
            </w:r>
          </w:p>
          <w:p w:rsidR="00000000" w:rsidP="00BD4F37">
            <w:pPr>
              <w:pStyle w:val="List"/>
              <w:rPr>
                <w:lang w:val="en-NZ"/>
              </w:rPr>
            </w:pPr>
            <w:r w:rsidRPr="00BD4F37">
              <w:t>1.6. Incorporate reporting and feedback processes into strategies and plans.</w:t>
            </w:r>
          </w:p>
        </w:tc>
      </w:tr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List"/>
              <w:rPr>
                <w:lang w:val="en-NZ"/>
              </w:rPr>
            </w:pPr>
            <w:r w:rsidRPr="00BD4F37">
              <w:t>2.  Facilitate and promote a diverse workforce.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37" w:rsidP="00BD4F37">
            <w:pPr>
              <w:pStyle w:val="List"/>
            </w:pPr>
            <w:r w:rsidRPr="00BD4F37">
              <w:t>2.1. Integrate diversi</w:t>
            </w:r>
            <w:r w:rsidRPr="00BD4F37">
              <w:t>ty principles and underpinning human resources policies and practices in the work area.</w:t>
            </w:r>
          </w:p>
          <w:p w:rsidR="00000000" w:rsidRPr="00BD4F37" w:rsidP="00BD4F37">
            <w:pPr>
              <w:pStyle w:val="List"/>
            </w:pPr>
            <w:r w:rsidRPr="00BD4F37">
              <w:t>2.2. Identify strategies to increase the recruitment and retention of equity groups in accordance with organisational policy.</w:t>
            </w:r>
          </w:p>
          <w:p w:rsidR="00000000" w:rsidRPr="00BD4F37" w:rsidP="00BD4F37">
            <w:pPr>
              <w:pStyle w:val="List"/>
            </w:pPr>
            <w:r w:rsidRPr="00BD4F37">
              <w:t>2.3. Identify barriers that prevent the eq</w:t>
            </w:r>
            <w:r w:rsidRPr="00BD4F37">
              <w:t>uitable recruitment, retention and progression of staff and develop strategies in consultation with others to address them.</w:t>
            </w:r>
          </w:p>
          <w:p w:rsidR="00000000" w:rsidRPr="00BD4F37" w:rsidP="00BD4F37">
            <w:pPr>
              <w:pStyle w:val="List"/>
            </w:pPr>
            <w:r w:rsidRPr="00BD4F37">
              <w:t>2.4. Identify and tailor development opportunities to address the needs of a diverse workforce in accordance with objectives and res</w:t>
            </w:r>
            <w:r w:rsidRPr="00BD4F37">
              <w:t>ourcing constraints.</w:t>
            </w:r>
          </w:p>
          <w:p w:rsidR="00000000" w:rsidRPr="00BD4F37" w:rsidP="00BD4F37">
            <w:pPr>
              <w:pStyle w:val="List"/>
            </w:pPr>
            <w:r w:rsidRPr="00BD4F37">
              <w:t>2.5. Identify and mentor individuals with the capacity to operate in a variety of settings to maximise their contribution to the organisation and its clients.</w:t>
            </w:r>
          </w:p>
          <w:p w:rsidR="00000000" w:rsidP="00BD4F37">
            <w:pPr>
              <w:pStyle w:val="List"/>
              <w:rPr>
                <w:lang w:val="en-NZ"/>
              </w:rPr>
            </w:pPr>
          </w:p>
        </w:tc>
      </w:tr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List"/>
              <w:rPr>
                <w:lang w:val="en-NZ"/>
              </w:rPr>
            </w:pPr>
            <w:r w:rsidRPr="00BD4F37">
              <w:t>3.  Monitor diversity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37" w:rsidP="00BD4F37">
            <w:pPr>
              <w:pStyle w:val="List"/>
            </w:pPr>
            <w:r w:rsidRPr="00BD4F37">
              <w:t>3.1. Evaluate data and feedback to identify changes and trends in diversity outcomes for the work area.</w:t>
            </w:r>
          </w:p>
          <w:p w:rsidR="00000000" w:rsidRPr="00BD4F37" w:rsidP="00BD4F37">
            <w:pPr>
              <w:pStyle w:val="List"/>
            </w:pPr>
            <w:r w:rsidRPr="00BD4F37">
              <w:t>3.2. Monitor progress against workplace diversity effectiveness measures and policy and legal obligations, report outcomes and adjust diversity strategi</w:t>
            </w:r>
            <w:r w:rsidRPr="00BD4F37">
              <w:t>es or objectives to ensure their continued relevance and success.</w:t>
            </w:r>
          </w:p>
        </w:tc>
      </w:tr>
    </w:tbl>
    <w:p w:rsidR="00000000" w:rsidRPr="00BD4F37" w:rsidP="00BD4F37">
      <w:pPr>
        <w:pStyle w:val="BodyText"/>
      </w:pPr>
    </w:p>
    <w:p w:rsidR="00000000" w:rsidRPr="00BD4F37" w:rsidP="00BD4F37">
      <w:pPr>
        <w:pStyle w:val="AllowPageBreak"/>
      </w:pPr>
    </w:p>
    <w:p w:rsidR="00000000" w:rsidRPr="00BD4F37" w:rsidP="00BD4F37">
      <w:pPr>
        <w:pStyle w:val="Heading1"/>
      </w:pPr>
      <w:bookmarkStart w:id="6" w:name="O_1215507"/>
      <w:bookmarkEnd w:id="6"/>
      <w:r w:rsidRPr="00BD4F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BodyText"/>
              <w:rPr>
                <w:lang w:val="en-NZ"/>
              </w:rPr>
            </w:pPr>
            <w:r w:rsidRPr="00BD4F37">
              <w:t>Foundation skills essential to performance in this unit, but not explicit in the performance criteria are listed here, along with a brief context state</w:t>
            </w:r>
            <w:r w:rsidRPr="00BD4F37">
              <w:t>ment.</w:t>
            </w:r>
          </w:p>
        </w:tc>
      </w:tr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37" w:rsidP="00BD4F37">
            <w:pPr>
              <w:pStyle w:val="BodyText"/>
            </w:pPr>
            <w:r w:rsidRPr="00BD4F3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BodyText"/>
              <w:rPr>
                <w:lang w:val="en-NZ"/>
              </w:rPr>
            </w:pPr>
            <w:r w:rsidRPr="00BD4F37">
              <w:rPr>
                <w:rStyle w:val="SpecialBold"/>
              </w:rPr>
              <w:t>DESCRIPTION</w:t>
            </w:r>
          </w:p>
        </w:tc>
      </w:tr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BodyText"/>
              <w:rPr>
                <w:lang w:val="en-NZ"/>
              </w:rPr>
            </w:pPr>
            <w:r w:rsidRPr="00BD4F3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37" w:rsidP="00BD4F37">
            <w:pPr>
              <w:pStyle w:val="ListBullet"/>
            </w:pPr>
            <w:r w:rsidRPr="00BD4F37">
              <w:t>use a variety of words and language structures to explain complex ideas to diverse audiences</w:t>
            </w:r>
          </w:p>
          <w:p w:rsidR="00000000" w:rsidP="00BD4F37">
            <w:pPr>
              <w:pStyle w:val="ListBullet"/>
              <w:rPr>
                <w:lang w:val="en-NZ"/>
              </w:rPr>
            </w:pPr>
            <w:r w:rsidRPr="00BD4F37">
              <w:t>interpret and explain complex, formal documents and assist others to apply them in the workplace.</w:t>
            </w:r>
          </w:p>
        </w:tc>
      </w:tr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BodyText"/>
              <w:rPr>
                <w:lang w:val="en-NZ"/>
              </w:rPr>
            </w:pPr>
            <w:r w:rsidRPr="00BD4F3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ListBullet"/>
              <w:rPr>
                <w:lang w:val="en-NZ"/>
              </w:rPr>
            </w:pPr>
            <w:r w:rsidRPr="00BD4F37">
              <w:t>prepare written advice and reports requiring reasoning and accuracy of expression.</w:t>
            </w:r>
          </w:p>
        </w:tc>
      </w:tr>
      <w:tr w:rsidTr="00BD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37">
            <w:pPr>
              <w:pStyle w:val="BodyText"/>
              <w:rPr>
                <w:lang w:val="en-NZ"/>
              </w:rPr>
            </w:pPr>
            <w:r w:rsidRPr="00BD4F3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37" w:rsidP="00BD4F37">
            <w:pPr>
              <w:pStyle w:val="ListBullet"/>
            </w:pPr>
            <w:r w:rsidRPr="00BD4F37">
              <w:t>interpret and apply quantitative data to measure workplace effectiveness.</w:t>
            </w:r>
          </w:p>
        </w:tc>
      </w:tr>
    </w:tbl>
    <w:p w:rsidR="00000000" w:rsidRPr="00BD4F37" w:rsidP="00BD4F37">
      <w:pPr>
        <w:pStyle w:val="BodyText"/>
      </w:pPr>
    </w:p>
    <w:p w:rsidR="00000000" w:rsidRPr="00BD4F37" w:rsidP="00BD4F37">
      <w:pPr>
        <w:pStyle w:val="AllowPageBreak"/>
      </w:pPr>
    </w:p>
    <w:p w:rsidR="00000000" w:rsidRPr="00BD4F37" w:rsidP="00BD4F37">
      <w:pPr>
        <w:pStyle w:val="Heading1"/>
      </w:pPr>
      <w:bookmarkStart w:id="7" w:name="O_1215509"/>
      <w:bookmarkEnd w:id="7"/>
      <w:r w:rsidRPr="00BD4F37">
        <w:t>Unit Mapping Information</w:t>
      </w:r>
    </w:p>
    <w:p w:rsidR="00000000" w:rsidRPr="00BD4F37" w:rsidP="0052530A">
      <w:pPr>
        <w:pStyle w:val="BodyText"/>
      </w:pPr>
      <w:r w:rsidRPr="00BD4F37">
        <w:t xml:space="preserve">Supersedes and is not equivalent to PSPGEN047 Promote diversity. </w:t>
      </w:r>
    </w:p>
    <w:p w:rsidR="00000000" w:rsidRPr="00BD4F37" w:rsidP="00BD4F37">
      <w:pPr>
        <w:pStyle w:val="Heading1"/>
      </w:pPr>
      <w:bookmarkStart w:id="8" w:name="O_1215516"/>
      <w:bookmarkEnd w:id="8"/>
      <w:r w:rsidRPr="00BD4F37">
        <w:t>Links</w:t>
      </w:r>
    </w:p>
    <w:p w:rsidR="00000000" w:rsidRPr="00BD4F37" w:rsidP="0052530A">
      <w:pPr>
        <w:pStyle w:val="BodyText"/>
      </w:pPr>
      <w:r w:rsidRPr="00BD4F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85E4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4F37" w:rsidP="0052530A">
      <w:pPr>
        <w:pStyle w:val="BodyText"/>
        <w:sectPr w:rsidSect="00BD4F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4F37" w:rsidP="00BD4F37">
      <w:pPr>
        <w:pStyle w:val="SuperHeading"/>
      </w:pPr>
      <w:r w:rsidRPr="00BD4F37">
        <w:t>Assessment Requirements for PSPGEN116 Facilitate the effective implementation of diversity and inclusion strategies</w:t>
      </w:r>
    </w:p>
    <w:p w:rsidR="00000000" w:rsidRPr="00BD4F37" w:rsidP="00BD4F37">
      <w:pPr>
        <w:pStyle w:val="Heading1"/>
      </w:pPr>
      <w:bookmarkStart w:id="9" w:name="O_1215511"/>
      <w:bookmarkEnd w:id="9"/>
      <w:r w:rsidRPr="00BD4F37">
        <w:t>Modification History</w:t>
      </w:r>
    </w:p>
    <w:p w:rsidR="00000000" w:rsidRPr="00BD4F37" w:rsidP="0052530A">
      <w:pPr>
        <w:pStyle w:val="BodyText"/>
      </w:pPr>
      <w:r w:rsidRPr="00BD4F37">
        <w:t>Supersedes and is not equivalent to PSPGEN047 Promote d</w:t>
      </w:r>
      <w:r w:rsidRPr="00BD4F37">
        <w:t xml:space="preserve">iversity. </w:t>
      </w:r>
    </w:p>
    <w:p w:rsidR="00000000" w:rsidRPr="00BD4F37" w:rsidP="00BD4F37">
      <w:pPr>
        <w:pStyle w:val="Heading1"/>
      </w:pPr>
      <w:bookmarkStart w:id="10" w:name="O_1215512"/>
      <w:bookmarkEnd w:id="10"/>
      <w:r w:rsidRPr="00BD4F37">
        <w:t>Performance Evidence</w:t>
      </w:r>
    </w:p>
    <w:p w:rsidR="00000000" w:rsidRPr="00BD4F37" w:rsidP="0052530A">
      <w:pPr>
        <w:pStyle w:val="BodyText"/>
      </w:pPr>
      <w:r w:rsidRPr="00BD4F37">
        <w:t>Evidence of the ability to complete tasks outlined in elements and performance criteria of this unit in the context of the job role, and on at least one occasion:</w:t>
      </w:r>
    </w:p>
    <w:p w:rsidR="00000000" w:rsidRPr="00BD4F37" w:rsidP="00BD4F37">
      <w:pPr>
        <w:pStyle w:val="ListBullet"/>
      </w:pPr>
      <w:r w:rsidRPr="00BD4F37">
        <w:t xml:space="preserve">explain the relationship between the management of diversity, inclusion and organisational effectiveness </w:t>
      </w:r>
    </w:p>
    <w:p w:rsidR="00000000" w:rsidRPr="00BD4F37" w:rsidP="00BD4F37">
      <w:pPr>
        <w:pStyle w:val="ListBullet"/>
      </w:pPr>
      <w:r w:rsidRPr="00BD4F37">
        <w:t>identify data sources relevant to workplace objectives</w:t>
      </w:r>
    </w:p>
    <w:p w:rsidR="00000000" w:rsidRPr="00BD4F37" w:rsidP="00BD4F37">
      <w:pPr>
        <w:pStyle w:val="ListBullet"/>
      </w:pPr>
      <w:r w:rsidRPr="00BD4F37">
        <w:t>develop, monitor and report on the progress of strategies including:</w:t>
      </w:r>
    </w:p>
    <w:p w:rsidR="00000000" w:rsidRPr="00BD4F37" w:rsidP="00BD4F37">
      <w:pPr>
        <w:pStyle w:val="ListBullet2"/>
      </w:pPr>
      <w:r w:rsidRPr="00BD4F37">
        <w:t>analysis of data</w:t>
      </w:r>
    </w:p>
    <w:p w:rsidR="00000000" w:rsidRPr="00BD4F37" w:rsidP="00BD4F37">
      <w:pPr>
        <w:pStyle w:val="ListBullet2"/>
      </w:pPr>
      <w:r w:rsidRPr="00BD4F37">
        <w:t xml:space="preserve">planning and developing objectives and effectiveness measures </w:t>
      </w:r>
    </w:p>
    <w:p w:rsidR="00000000" w:rsidRPr="00BD4F37" w:rsidP="00BD4F37">
      <w:pPr>
        <w:pStyle w:val="ListBullet2"/>
      </w:pPr>
      <w:r w:rsidRPr="00BD4F37">
        <w:t>applying principles of codesign.</w:t>
      </w:r>
    </w:p>
    <w:p w:rsidR="00000000" w:rsidRPr="00BD4F37" w:rsidP="00BD4F37">
      <w:pPr>
        <w:pStyle w:val="AllowPageBreak"/>
      </w:pPr>
    </w:p>
    <w:p w:rsidR="00000000" w:rsidRPr="00BD4F37" w:rsidP="00BD4F37">
      <w:pPr>
        <w:pStyle w:val="Heading1"/>
      </w:pPr>
      <w:bookmarkStart w:id="11" w:name="O_1215513"/>
      <w:bookmarkEnd w:id="11"/>
      <w:r w:rsidRPr="00BD4F37">
        <w:t>Knowledge Evidence</w:t>
      </w:r>
    </w:p>
    <w:p w:rsidR="00000000" w:rsidRPr="00BD4F37" w:rsidP="0052530A">
      <w:pPr>
        <w:pStyle w:val="BodyText"/>
      </w:pPr>
      <w:r w:rsidRPr="00BD4F37">
        <w:t>Demonstrated knowledge required to complete the tasks outlined in elements and performance criteria of this unit:</w:t>
      </w:r>
    </w:p>
    <w:p w:rsidR="00000000" w:rsidRPr="00BD4F37" w:rsidP="00BD4F37">
      <w:pPr>
        <w:pStyle w:val="ListBullet"/>
      </w:pPr>
      <w:r w:rsidRPr="00BD4F37">
        <w:t>equal e</w:t>
      </w:r>
      <w:r w:rsidRPr="00BD4F37">
        <w:t>mployment opportunity, access and equity principles</w:t>
      </w:r>
    </w:p>
    <w:p w:rsidR="00000000" w:rsidRPr="00BD4F37" w:rsidP="00BD4F37">
      <w:pPr>
        <w:pStyle w:val="ListBullet"/>
      </w:pPr>
      <w:r w:rsidRPr="00BD4F37">
        <w:t>legislation and standards that underpin or impact on diversity and inclusion in the organisation</w:t>
      </w:r>
    </w:p>
    <w:p w:rsidR="00000000" w:rsidRPr="00BD4F37" w:rsidP="00BD4F37">
      <w:pPr>
        <w:pStyle w:val="ListBullet"/>
      </w:pPr>
      <w:r w:rsidRPr="00BD4F37">
        <w:t>aspects of diversity:</w:t>
      </w:r>
    </w:p>
    <w:p w:rsidR="00000000" w:rsidRPr="00BD4F37" w:rsidP="00BD4F37">
      <w:pPr>
        <w:pStyle w:val="ListBullet2"/>
      </w:pPr>
      <w:r w:rsidRPr="00BD4F37">
        <w:t>definitions</w:t>
      </w:r>
    </w:p>
    <w:p w:rsidR="00000000" w:rsidRPr="00BD4F37" w:rsidP="00BD4F37">
      <w:pPr>
        <w:pStyle w:val="ListBullet2"/>
      </w:pPr>
      <w:r w:rsidRPr="00BD4F37">
        <w:t>benefits</w:t>
      </w:r>
    </w:p>
    <w:p w:rsidR="00000000" w:rsidRPr="00BD4F37" w:rsidP="00BD4F37">
      <w:pPr>
        <w:pStyle w:val="ListBullet2"/>
      </w:pPr>
      <w:r w:rsidRPr="00BD4F37">
        <w:t>challenges</w:t>
      </w:r>
    </w:p>
    <w:p w:rsidR="00000000" w:rsidRPr="00BD4F37" w:rsidP="00BD4F37">
      <w:pPr>
        <w:pStyle w:val="ListBullet2"/>
      </w:pPr>
      <w:r w:rsidRPr="00BD4F37">
        <w:t>avoidance of bias in language</w:t>
      </w:r>
    </w:p>
    <w:p w:rsidR="00000000" w:rsidRPr="00BD4F37" w:rsidP="00BD4F37">
      <w:pPr>
        <w:pStyle w:val="ListBullet"/>
      </w:pPr>
      <w:r w:rsidRPr="00BD4F37">
        <w:t>key aspects of legislation:</w:t>
      </w:r>
    </w:p>
    <w:p w:rsidR="00000000" w:rsidRPr="00BD4F37" w:rsidP="00BD4F37">
      <w:pPr>
        <w:pStyle w:val="ListBullet2"/>
      </w:pPr>
      <w:r w:rsidRPr="00BD4F37">
        <w:t xml:space="preserve">direct discrimination </w:t>
      </w:r>
    </w:p>
    <w:p w:rsidR="00000000" w:rsidRPr="00BD4F37" w:rsidP="00BD4F37">
      <w:pPr>
        <w:pStyle w:val="ListBullet2"/>
      </w:pPr>
      <w:r w:rsidRPr="00BD4F37">
        <w:t>indirect discrimination</w:t>
      </w:r>
    </w:p>
    <w:p w:rsidR="00000000" w:rsidRPr="00BD4F37" w:rsidP="00BD4F37">
      <w:pPr>
        <w:pStyle w:val="ListBullet2"/>
      </w:pPr>
      <w:r w:rsidRPr="00BD4F37">
        <w:t>grounds of discrimination</w:t>
      </w:r>
    </w:p>
    <w:p w:rsidR="00000000" w:rsidRPr="00BD4F37" w:rsidP="00BD4F37">
      <w:pPr>
        <w:pStyle w:val="ListBullet2"/>
      </w:pPr>
      <w:r w:rsidRPr="00BD4F37">
        <w:t>areas of discrimination</w:t>
      </w:r>
    </w:p>
    <w:p w:rsidR="00000000" w:rsidRPr="00BD4F37" w:rsidP="00BD4F37">
      <w:pPr>
        <w:pStyle w:val="ListBullet"/>
      </w:pPr>
      <w:r w:rsidRPr="00BD4F37">
        <w:t>key principles of:</w:t>
      </w:r>
    </w:p>
    <w:p w:rsidR="00000000" w:rsidRPr="00BD4F37" w:rsidP="00BD4F37">
      <w:pPr>
        <w:pStyle w:val="ListBullet2"/>
      </w:pPr>
      <w:r w:rsidRPr="00BD4F37">
        <w:t>inclusion</w:t>
      </w:r>
    </w:p>
    <w:p w:rsidR="00000000" w:rsidRPr="00BD4F37" w:rsidP="00BD4F37">
      <w:pPr>
        <w:pStyle w:val="ListBullet2"/>
      </w:pPr>
      <w:r w:rsidRPr="00BD4F37">
        <w:t>equal employment opportunity</w:t>
      </w:r>
    </w:p>
    <w:p w:rsidR="00000000" w:rsidRPr="00BD4F37" w:rsidP="00BD4F37">
      <w:pPr>
        <w:pStyle w:val="ListBullet2"/>
      </w:pPr>
      <w:r w:rsidRPr="00BD4F37">
        <w:t>access and equity</w:t>
      </w:r>
    </w:p>
    <w:p w:rsidR="00000000" w:rsidRPr="00BD4F37" w:rsidP="00BD4F37">
      <w:pPr>
        <w:pStyle w:val="ListBullet"/>
      </w:pPr>
      <w:r w:rsidRPr="00BD4F37">
        <w:t>how to identify and avoid bias in language and orga</w:t>
      </w:r>
      <w:r w:rsidRPr="00BD4F37">
        <w:t>nisational communications</w:t>
      </w:r>
    </w:p>
    <w:p w:rsidR="00000000" w:rsidRPr="00BD4F37" w:rsidP="00BD4F37">
      <w:pPr>
        <w:pStyle w:val="ListBullet"/>
      </w:pPr>
      <w:r w:rsidRPr="00BD4F37">
        <w:t>organisational policies, practices and procedures related to diversity and inclusion including:</w:t>
      </w:r>
    </w:p>
    <w:p w:rsidR="00000000" w:rsidRPr="00BD4F37" w:rsidP="00BD4F37">
      <w:pPr>
        <w:pStyle w:val="ListBullet2"/>
      </w:pPr>
      <w:r w:rsidRPr="00BD4F37">
        <w:t>evidence-based decision-making processes</w:t>
      </w:r>
    </w:p>
    <w:p w:rsidR="00000000" w:rsidRPr="00BD4F37" w:rsidP="00BD4F37">
      <w:pPr>
        <w:pStyle w:val="ListBullet2"/>
      </w:pPr>
      <w:r w:rsidRPr="00BD4F37">
        <w:t xml:space="preserve">reporting requirements and grievance procedures </w:t>
      </w:r>
    </w:p>
    <w:p w:rsidR="00000000" w:rsidRPr="00BD4F37" w:rsidP="00BD4F37">
      <w:pPr>
        <w:pStyle w:val="ListBullet"/>
      </w:pPr>
      <w:r w:rsidRPr="00BD4F37">
        <w:t>strategies to:</w:t>
      </w:r>
    </w:p>
    <w:p w:rsidR="00000000" w:rsidRPr="00BD4F37" w:rsidP="00BD4F37">
      <w:pPr>
        <w:pStyle w:val="ListBullet2"/>
      </w:pPr>
      <w:r w:rsidRPr="00BD4F37">
        <w:t>identify barriers to equity outcomes</w:t>
      </w:r>
    </w:p>
    <w:p w:rsidR="00000000" w:rsidRPr="00BD4F37" w:rsidP="00BD4F37">
      <w:pPr>
        <w:pStyle w:val="ListBullet2"/>
      </w:pPr>
      <w:r w:rsidRPr="00BD4F37">
        <w:t>overcome challenges associated with workplace diversity and inclusion.</w:t>
      </w:r>
    </w:p>
    <w:p w:rsidR="00000000" w:rsidRPr="00BD4F37" w:rsidP="00BD4F37">
      <w:pPr>
        <w:pStyle w:val="AllowPageBreak"/>
      </w:pPr>
    </w:p>
    <w:p w:rsidR="00000000" w:rsidRPr="00BD4F37" w:rsidP="00BD4F37">
      <w:pPr>
        <w:pStyle w:val="Heading1"/>
      </w:pPr>
      <w:bookmarkStart w:id="12" w:name="O_1215514"/>
      <w:bookmarkEnd w:id="12"/>
      <w:r w:rsidRPr="00BD4F37">
        <w:t>Assessment Conditions</w:t>
      </w:r>
    </w:p>
    <w:p w:rsidR="00000000" w:rsidRPr="00BD4F37" w:rsidP="0052530A">
      <w:pPr>
        <w:pStyle w:val="BodyText"/>
      </w:pPr>
      <w:r w:rsidRPr="00BD4F37">
        <w:t>Skills must be demonstrated in the workplace or in a simulated environment that reflects workplace conditio</w:t>
      </w:r>
      <w:r w:rsidRPr="00BD4F37">
        <w:t>ns</w:t>
      </w:r>
    </w:p>
    <w:p w:rsidR="00000000" w:rsidRPr="00BD4F37" w:rsidP="0052530A">
      <w:pPr>
        <w:pStyle w:val="BodyText"/>
      </w:pPr>
      <w:r w:rsidRPr="00BD4F37">
        <w:t>Assessment must ensure access to:</w:t>
      </w:r>
    </w:p>
    <w:p w:rsidR="00000000" w:rsidRPr="00BD4F37" w:rsidP="00BD4F37">
      <w:pPr>
        <w:pStyle w:val="ListBullet"/>
      </w:pPr>
      <w:r w:rsidRPr="00BD4F37">
        <w:t xml:space="preserve">legislation and standards that underpin or impact on diversity and inclusion in the organisation </w:t>
      </w:r>
    </w:p>
    <w:p w:rsidR="00000000" w:rsidRPr="00BD4F37" w:rsidP="00BD4F37">
      <w:pPr>
        <w:pStyle w:val="ListBullet"/>
      </w:pPr>
      <w:r w:rsidRPr="00BD4F37">
        <w:t xml:space="preserve">organisational policies, practices and procedures for diversity and inclusion </w:t>
      </w:r>
    </w:p>
    <w:p w:rsidR="00000000" w:rsidRPr="00BD4F37" w:rsidP="00BD4F37">
      <w:pPr>
        <w:pStyle w:val="ListBullet"/>
      </w:pPr>
      <w:r w:rsidRPr="00BD4F37">
        <w:t>sources of information on diversity, equity and inclusion issues including data and reports used in the organisation.</w:t>
      </w:r>
    </w:p>
    <w:p w:rsidR="00000000" w:rsidRPr="00BD4F37" w:rsidP="0052530A">
      <w:pPr>
        <w:pStyle w:val="BodyText"/>
      </w:pPr>
      <w:r w:rsidRPr="00BD4F37">
        <w:t>Assessors must satisfy the Standards for Registered Training Organisations’ requirements for assessors.</w:t>
      </w:r>
    </w:p>
    <w:p w:rsidR="00000000" w:rsidRPr="00BD4F37" w:rsidP="00BD4F37">
      <w:pPr>
        <w:pStyle w:val="Heading1"/>
      </w:pPr>
      <w:bookmarkStart w:id="13" w:name="O_1215517"/>
      <w:bookmarkEnd w:id="13"/>
      <w:r w:rsidRPr="00BD4F37">
        <w:t>Links</w:t>
      </w:r>
    </w:p>
    <w:p w:rsidR="00000000" w:rsidRPr="00BD4F37" w:rsidP="0052530A">
      <w:pPr>
        <w:pStyle w:val="BodyText"/>
      </w:pPr>
      <w:r w:rsidRPr="00BD4F37">
        <w:t>Companion</w:t>
      </w:r>
      <w:r w:rsidRPr="00BD4F37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85E4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4F37" w:rsidP="00BD4F37"/>
    <w:sectPr w:rsidSect="00BD4F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37" w:rsidRPr="0052530A" w:rsidP="00525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0A" w:rsidP="00BD4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30A" w:rsidP="00BD4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2530A" w:rsidP="00BD4F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37" w:rsidP="00BD4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530A">
      <w:t>Approved</w:t>
    </w:r>
    <w:r w:rsidR="005253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53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530A">
      <w:rPr>
        <w:noProof/>
      </w:rPr>
      <w:t>4</w:t>
    </w:r>
    <w:r>
      <w:rPr>
        <w:noProof/>
      </w:rPr>
      <w:fldChar w:fldCharType="end"/>
    </w:r>
  </w:p>
  <w:p w:rsidR="00BD4F37" w:rsidP="00BD4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53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530A">
      <w:t>Public Skills Australia</w:t>
    </w:r>
    <w:r w:rsidR="0052530A">
      <w:fldChar w:fldCharType="end"/>
    </w:r>
  </w:p>
  <w:p w:rsidR="00BD4F37" w:rsidP="00BD4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F37" w:rsidRPr="0052530A" w:rsidP="00525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0A" w:rsidRPr="002D2AF8" w:rsidP="00BD4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PSPGEN116 Facilitate the effective implementation of diversity and inclusion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530A" w:rsidP="00BD4F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37" w:rsidRPr="002D2AF8" w:rsidP="00BD4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530A">
      <w:t>PSPGEN116 Facilitate the effective implementation of diversity and inclusion strategies</w:t>
    </w:r>
    <w:r w:rsidR="005253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530A">
      <w:rPr>
        <w:noProof/>
      </w:rPr>
      <w:t>2 March 2025</w:t>
    </w:r>
    <w:r>
      <w:fldChar w:fldCharType="end"/>
    </w:r>
  </w:p>
  <w:p w:rsidR="00BD4F37" w:rsidP="00BD4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4D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701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DED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F37"/>
  </w:style>
  <w:style w:type="character" w:customStyle="1" w:styleId="Heading1Char">
    <w:name w:val="Heading 1 Char"/>
    <w:basedOn w:val="DefaultParagraphFont"/>
    <w:link w:val="Heading1"/>
    <w:rsid w:val="00BD4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F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4F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F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F37"/>
    <w:rPr>
      <w:b/>
      <w:spacing w:val="0"/>
    </w:rPr>
  </w:style>
  <w:style w:type="paragraph" w:styleId="ListBullet2">
    <w:name w:val="List Bullet 2"/>
    <w:basedOn w:val="List2"/>
    <w:rsid w:val="00BD4F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4F37"/>
    <w:rPr>
      <w:i/>
    </w:rPr>
  </w:style>
  <w:style w:type="paragraph" w:customStyle="1" w:styleId="SuperHeading">
    <w:name w:val="SuperHeading"/>
    <w:basedOn w:val="Normal"/>
    <w:rsid w:val="00BD4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F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4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F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F37"/>
  </w:style>
  <w:style w:type="paragraph" w:styleId="TableofFigures">
    <w:name w:val="table of figures"/>
    <w:basedOn w:val="Normal"/>
    <w:next w:val="Normal"/>
    <w:semiHidden/>
    <w:rsid w:val="00BD4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F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F37"/>
    <w:rPr>
      <w:rFonts w:ascii="Wingdings" w:hAnsi="Wingdings"/>
    </w:rPr>
  </w:style>
  <w:style w:type="paragraph" w:customStyle="1" w:styleId="TableHeading">
    <w:name w:val="Table Heading"/>
    <w:basedOn w:val="HeadingBase"/>
    <w:rsid w:val="00BD4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F37"/>
    <w:rPr>
      <w:color w:val="0033CC"/>
      <w:u w:val="none"/>
    </w:rPr>
  </w:style>
  <w:style w:type="paragraph" w:customStyle="1" w:styleId="BodyTextRight">
    <w:name w:val="Body Text Right"/>
    <w:basedOn w:val="BodyText"/>
    <w:rsid w:val="00BD4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F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F37"/>
    <w:rPr>
      <w:sz w:val="32"/>
    </w:rPr>
  </w:style>
  <w:style w:type="paragraph" w:customStyle="1" w:styleId="HeadingProcedure">
    <w:name w:val="Heading Procedure"/>
    <w:basedOn w:val="HeadingBase"/>
    <w:next w:val="Normal"/>
    <w:rsid w:val="00BD4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F37"/>
    <w:pPr>
      <w:spacing w:before="60" w:after="60"/>
    </w:pPr>
  </w:style>
  <w:style w:type="paragraph" w:styleId="ListContinue">
    <w:name w:val="List Continue"/>
    <w:basedOn w:val="List"/>
    <w:rsid w:val="00BD4F37"/>
    <w:pPr>
      <w:ind w:firstLine="0"/>
    </w:pPr>
  </w:style>
  <w:style w:type="paragraph" w:customStyle="1" w:styleId="ListNote">
    <w:name w:val="List Note"/>
    <w:basedOn w:val="List"/>
    <w:rsid w:val="00BD4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F37"/>
    <w:rPr>
      <w:rFonts w:ascii="Courier New" w:hAnsi="Courier New"/>
    </w:rPr>
  </w:style>
  <w:style w:type="paragraph" w:customStyle="1" w:styleId="NoteBullet">
    <w:name w:val="Note Bullet"/>
    <w:basedOn w:val="Note"/>
    <w:rsid w:val="00BD4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F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F37"/>
    <w:rPr>
      <w:b/>
      <w:smallCaps/>
    </w:rPr>
  </w:style>
  <w:style w:type="paragraph" w:customStyle="1" w:styleId="TableListNumber">
    <w:name w:val="Table List Number"/>
    <w:basedOn w:val="ListNumber"/>
    <w:rsid w:val="00BD4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F37"/>
    <w:pPr>
      <w:numPr>
        <w:numId w:val="9"/>
      </w:numPr>
    </w:pPr>
  </w:style>
  <w:style w:type="paragraph" w:customStyle="1" w:styleId="ListAlpha2">
    <w:name w:val="List Alpha 2"/>
    <w:basedOn w:val="List2"/>
    <w:rsid w:val="00BD4F37"/>
    <w:pPr>
      <w:numPr>
        <w:numId w:val="8"/>
      </w:numPr>
    </w:pPr>
  </w:style>
  <w:style w:type="paragraph" w:styleId="List2">
    <w:name w:val="List 2"/>
    <w:basedOn w:val="BodyText"/>
    <w:rsid w:val="00BD4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F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F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F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F37"/>
    <w:pPr>
      <w:numPr>
        <w:numId w:val="4"/>
      </w:numPr>
    </w:pPr>
  </w:style>
  <w:style w:type="paragraph" w:styleId="ListContinue2">
    <w:name w:val="List Continue 2"/>
    <w:basedOn w:val="List2"/>
    <w:rsid w:val="00BD4F37"/>
    <w:pPr>
      <w:ind w:firstLine="0"/>
    </w:pPr>
  </w:style>
  <w:style w:type="paragraph" w:styleId="ListContinue3">
    <w:name w:val="List Continue 3"/>
    <w:basedOn w:val="List3"/>
    <w:rsid w:val="00BD4F37"/>
    <w:pPr>
      <w:ind w:left="1021" w:firstLine="0"/>
    </w:pPr>
  </w:style>
  <w:style w:type="paragraph" w:styleId="ListContinue4">
    <w:name w:val="List Continue 4"/>
    <w:basedOn w:val="List4"/>
    <w:rsid w:val="00BD4F37"/>
    <w:pPr>
      <w:ind w:firstLine="0"/>
    </w:pPr>
  </w:style>
  <w:style w:type="paragraph" w:styleId="ListContinue5">
    <w:name w:val="List Continue 5"/>
    <w:basedOn w:val="List5"/>
    <w:rsid w:val="00BD4F37"/>
    <w:pPr>
      <w:ind w:firstLine="0"/>
    </w:pPr>
  </w:style>
  <w:style w:type="paragraph" w:styleId="ListNumber3">
    <w:name w:val="List Number 3"/>
    <w:basedOn w:val="List3"/>
    <w:rsid w:val="00BD4F37"/>
    <w:pPr>
      <w:numPr>
        <w:numId w:val="5"/>
      </w:numPr>
    </w:pPr>
  </w:style>
  <w:style w:type="paragraph" w:styleId="ListNumber4">
    <w:name w:val="List Number 4"/>
    <w:basedOn w:val="List4"/>
    <w:rsid w:val="00BD4F37"/>
    <w:pPr>
      <w:numPr>
        <w:numId w:val="6"/>
      </w:numPr>
    </w:pPr>
  </w:style>
  <w:style w:type="paragraph" w:styleId="ListNumber5">
    <w:name w:val="List Number 5"/>
    <w:basedOn w:val="List5"/>
    <w:rsid w:val="00BD4F37"/>
    <w:pPr>
      <w:numPr>
        <w:numId w:val="7"/>
      </w:numPr>
    </w:pPr>
  </w:style>
  <w:style w:type="paragraph" w:styleId="BlockText">
    <w:name w:val="Block Text"/>
    <w:basedOn w:val="Normal"/>
    <w:rsid w:val="00BD4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F37"/>
    <w:rPr>
      <w:sz w:val="16"/>
      <w:vertAlign w:val="superscript"/>
    </w:rPr>
  </w:style>
  <w:style w:type="character" w:customStyle="1" w:styleId="Symbols">
    <w:name w:val="Symbols"/>
    <w:basedOn w:val="DefaultParagraphFont"/>
    <w:rsid w:val="00BD4F37"/>
    <w:rPr>
      <w:rFonts w:ascii="Symbol" w:hAnsi="Symbol"/>
    </w:rPr>
  </w:style>
  <w:style w:type="character" w:customStyle="1" w:styleId="MenuOptions">
    <w:name w:val="Menu Options"/>
    <w:basedOn w:val="DefaultParagraphFont"/>
    <w:rsid w:val="00BD4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F37"/>
    <w:rPr>
      <w:b/>
    </w:rPr>
  </w:style>
  <w:style w:type="character" w:customStyle="1" w:styleId="Underlined">
    <w:name w:val="Underlined"/>
    <w:basedOn w:val="DefaultParagraphFont"/>
    <w:rsid w:val="00BD4F37"/>
    <w:rPr>
      <w:u w:val="single"/>
    </w:rPr>
  </w:style>
  <w:style w:type="paragraph" w:customStyle="1" w:styleId="TableBodyTextRight">
    <w:name w:val="Table Body Text Right"/>
    <w:basedOn w:val="TableBodyText"/>
    <w:rsid w:val="00BD4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F37"/>
    <w:rPr>
      <w:sz w:val="18"/>
    </w:rPr>
  </w:style>
  <w:style w:type="paragraph" w:customStyle="1" w:styleId="BodySmallRight">
    <w:name w:val="Body Small Right"/>
    <w:basedOn w:val="BodyTextRight"/>
    <w:rsid w:val="00BD4F37"/>
    <w:rPr>
      <w:sz w:val="18"/>
      <w:szCs w:val="18"/>
    </w:rPr>
  </w:style>
  <w:style w:type="paragraph" w:customStyle="1" w:styleId="MarginEdition">
    <w:name w:val="Margin Edition"/>
    <w:basedOn w:val="MarginNote"/>
    <w:rsid w:val="00BD4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F37"/>
    <w:rPr>
      <w:sz w:val="2"/>
      <w:szCs w:val="2"/>
    </w:rPr>
  </w:style>
  <w:style w:type="character" w:customStyle="1" w:styleId="Small">
    <w:name w:val="Small"/>
    <w:basedOn w:val="DefaultParagraphFont"/>
    <w:rsid w:val="00BD4F37"/>
    <w:rPr>
      <w:sz w:val="16"/>
    </w:rPr>
  </w:style>
  <w:style w:type="paragraph" w:customStyle="1" w:styleId="WideTable">
    <w:name w:val="Wide Table"/>
    <w:basedOn w:val="Normal"/>
    <w:rsid w:val="00BD4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F37"/>
  </w:style>
  <w:style w:type="paragraph" w:styleId="Quote">
    <w:name w:val="Quote"/>
    <w:basedOn w:val="Heading1"/>
    <w:link w:val="QuoteChar"/>
    <w:qFormat/>
    <w:rsid w:val="00BD4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F37"/>
    <w:pPr>
      <w:pageBreakBefore/>
    </w:pPr>
  </w:style>
  <w:style w:type="paragraph" w:customStyle="1" w:styleId="Border">
    <w:name w:val="Border"/>
    <w:basedOn w:val="Normal"/>
    <w:qFormat/>
    <w:rsid w:val="00BD4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F37"/>
    <w:rPr>
      <w:u w:val="single"/>
    </w:rPr>
  </w:style>
  <w:style w:type="character" w:customStyle="1" w:styleId="BoldandItalics">
    <w:name w:val="Bold and Italics"/>
    <w:qFormat/>
    <w:rsid w:val="00BD4F37"/>
    <w:rPr>
      <w:b/>
      <w:i/>
      <w:u w:val="none"/>
    </w:rPr>
  </w:style>
  <w:style w:type="paragraph" w:styleId="BalloonText">
    <w:name w:val="Balloon Text"/>
    <w:basedOn w:val="Normal"/>
    <w:link w:val="BalloonTextChar"/>
    <w:rsid w:val="00BD4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F37"/>
    <w:pPr>
      <w:spacing w:before="0" w:after="0"/>
    </w:pPr>
  </w:style>
  <w:style w:type="paragraph" w:customStyle="1" w:styleId="BodyTextBold">
    <w:name w:val="Body Text Bold"/>
    <w:basedOn w:val="BodyText"/>
    <w:qFormat/>
    <w:rsid w:val="00BD4F37"/>
    <w:rPr>
      <w:b/>
    </w:rPr>
  </w:style>
  <w:style w:type="character" w:styleId="Hyperlink">
    <w:name w:val="Hyperlink"/>
    <w:basedOn w:val="DefaultParagraphFont"/>
    <w:uiPriority w:val="99"/>
    <w:unhideWhenUsed/>
    <w:rsid w:val="00525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5702</Characters>
  <Application>Microsoft Office Word</Application>
  <DocSecurity>0</DocSecurity>
  <Lines>172</Lines>
  <Paragraphs>113</Paragraphs>
  <ScaleCrop>false</ScaleCrop>
  <Company>Author-it Software Corporation Ltd.</Company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PSPGEN116 Facilitate the effective implementation of diversity and inclusion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