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20C" w:rsidP="008B5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PSPGEN116 Facilitate the effective implementation of diversity and inclusion strategies</w:t>
      </w:r>
      <w:r>
        <w:fldChar w:fldCharType="end"/>
      </w:r>
    </w:p>
    <w:p w:rsidR="008B520C" w:rsidP="008B520C">
      <w:pPr>
        <w:pStyle w:val="Version"/>
        <w:sectPr w:rsidSect="002B1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605" w:rsidP="002B1605">
      <w:pPr>
        <w:pStyle w:val="SuperHeading"/>
      </w:pPr>
      <w:r w:rsidRPr="002B1605">
        <w:t>Assessment Requirements for PSPGEN116 Facilitate the effective implementation of diversity and inclusion strategies</w:t>
      </w:r>
    </w:p>
    <w:p w:rsidR="00000000" w:rsidRPr="002B1605" w:rsidP="002B1605">
      <w:pPr>
        <w:pStyle w:val="Heading1"/>
      </w:pPr>
      <w:bookmarkStart w:id="1" w:name="O_1215511"/>
      <w:bookmarkEnd w:id="1"/>
      <w:r w:rsidRPr="002B1605">
        <w:t>Modification History</w:t>
      </w:r>
    </w:p>
    <w:p w:rsidR="00000000" w:rsidRPr="002B1605" w:rsidP="008B520C">
      <w:pPr>
        <w:pStyle w:val="BodyText"/>
      </w:pPr>
      <w:r w:rsidRPr="002B1605">
        <w:t xml:space="preserve">Supersedes and is not equivalent to PSPGEN047 Promote diversity. </w:t>
      </w:r>
    </w:p>
    <w:p w:rsidR="00000000" w:rsidRPr="002B1605" w:rsidP="002B1605">
      <w:pPr>
        <w:pStyle w:val="Heading1"/>
      </w:pPr>
      <w:bookmarkStart w:id="2" w:name="O_1215512"/>
      <w:bookmarkEnd w:id="2"/>
      <w:r w:rsidRPr="002B1605">
        <w:t>Performance Evidence</w:t>
      </w:r>
    </w:p>
    <w:p w:rsidR="00000000" w:rsidRPr="002B1605" w:rsidP="008B520C">
      <w:pPr>
        <w:pStyle w:val="BodyText"/>
      </w:pPr>
      <w:r w:rsidRPr="002B1605">
        <w:t>Evidence of the ability to complete tasks outlined in elements and performance criteria of this unit in the context of the job role, and on at least one occasion:</w:t>
      </w:r>
    </w:p>
    <w:p w:rsidR="00000000" w:rsidRPr="002B1605" w:rsidP="002B1605">
      <w:pPr>
        <w:pStyle w:val="ListBullet"/>
      </w:pPr>
      <w:r w:rsidRPr="002B1605">
        <w:t>explain the relationship between the management of diversity, inclusion</w:t>
      </w:r>
      <w:r w:rsidRPr="002B1605">
        <w:t xml:space="preserve"> and organisational effectiveness </w:t>
      </w:r>
    </w:p>
    <w:p w:rsidR="00000000" w:rsidRPr="002B1605" w:rsidP="002B1605">
      <w:pPr>
        <w:pStyle w:val="ListBullet"/>
      </w:pPr>
      <w:r w:rsidRPr="002B1605">
        <w:t>identify data sources relevant to workplace objectives</w:t>
      </w:r>
    </w:p>
    <w:p w:rsidR="00000000" w:rsidRPr="002B1605" w:rsidP="002B1605">
      <w:pPr>
        <w:pStyle w:val="ListBullet"/>
      </w:pPr>
      <w:r w:rsidRPr="002B1605">
        <w:t>develop, monitor and report on the progress of strategies including:</w:t>
      </w:r>
    </w:p>
    <w:p w:rsidR="00000000" w:rsidRPr="002B1605" w:rsidP="002B1605">
      <w:pPr>
        <w:pStyle w:val="ListBullet2"/>
      </w:pPr>
      <w:r w:rsidRPr="002B1605">
        <w:t>analysis of data</w:t>
      </w:r>
    </w:p>
    <w:p w:rsidR="00000000" w:rsidRPr="002B1605" w:rsidP="002B1605">
      <w:pPr>
        <w:pStyle w:val="ListBullet2"/>
      </w:pPr>
      <w:r w:rsidRPr="002B1605">
        <w:t xml:space="preserve">planning and developing objectives and effectiveness measures </w:t>
      </w:r>
    </w:p>
    <w:p w:rsidR="00000000" w:rsidRPr="002B1605" w:rsidP="002B1605">
      <w:pPr>
        <w:pStyle w:val="ListBullet2"/>
      </w:pPr>
      <w:r w:rsidRPr="002B1605">
        <w:t>applying princip</w:t>
      </w:r>
      <w:r w:rsidRPr="002B1605">
        <w:t>les of codesign.</w:t>
      </w:r>
    </w:p>
    <w:p w:rsidR="00000000" w:rsidRPr="002B1605" w:rsidP="002B1605">
      <w:pPr>
        <w:pStyle w:val="AllowPageBreak"/>
      </w:pPr>
    </w:p>
    <w:p w:rsidR="00000000" w:rsidRPr="002B1605" w:rsidP="002B1605">
      <w:pPr>
        <w:pStyle w:val="Heading1"/>
      </w:pPr>
      <w:bookmarkStart w:id="3" w:name="O_1215513"/>
      <w:bookmarkEnd w:id="3"/>
      <w:r w:rsidRPr="002B1605">
        <w:t>Knowledge Evidence</w:t>
      </w:r>
    </w:p>
    <w:p w:rsidR="00000000" w:rsidRPr="002B1605" w:rsidP="008B520C">
      <w:pPr>
        <w:pStyle w:val="BodyText"/>
      </w:pPr>
      <w:r w:rsidRPr="002B1605">
        <w:t>Demonstrated knowledge required to complete the tasks outlined in elements and performance criteria of this unit:</w:t>
      </w:r>
    </w:p>
    <w:p w:rsidR="00000000" w:rsidRPr="002B1605" w:rsidP="002B1605">
      <w:pPr>
        <w:pStyle w:val="ListBullet"/>
      </w:pPr>
      <w:r w:rsidRPr="002B1605">
        <w:t>equal employment opportunity, access and equity principles</w:t>
      </w:r>
    </w:p>
    <w:p w:rsidR="00000000" w:rsidRPr="002B1605" w:rsidP="002B1605">
      <w:pPr>
        <w:pStyle w:val="ListBullet"/>
      </w:pPr>
      <w:r w:rsidRPr="002B1605">
        <w:t>legislation and standards that underpin or impact on diversity and inclusion in the organisation</w:t>
      </w:r>
    </w:p>
    <w:p w:rsidR="00000000" w:rsidRPr="002B1605" w:rsidP="002B1605">
      <w:pPr>
        <w:pStyle w:val="ListBullet"/>
      </w:pPr>
      <w:r w:rsidRPr="002B1605">
        <w:t>aspects of diversity:</w:t>
      </w:r>
    </w:p>
    <w:p w:rsidR="00000000" w:rsidRPr="002B1605" w:rsidP="002B1605">
      <w:pPr>
        <w:pStyle w:val="ListBullet2"/>
      </w:pPr>
      <w:r w:rsidRPr="002B1605">
        <w:t>definitions</w:t>
      </w:r>
    </w:p>
    <w:p w:rsidR="00000000" w:rsidRPr="002B1605" w:rsidP="002B1605">
      <w:pPr>
        <w:pStyle w:val="ListBullet2"/>
      </w:pPr>
      <w:r w:rsidRPr="002B1605">
        <w:t>benefits</w:t>
      </w:r>
    </w:p>
    <w:p w:rsidR="00000000" w:rsidRPr="002B1605" w:rsidP="002B1605">
      <w:pPr>
        <w:pStyle w:val="ListBullet2"/>
      </w:pPr>
      <w:r w:rsidRPr="002B1605">
        <w:t>challenges</w:t>
      </w:r>
    </w:p>
    <w:p w:rsidR="00000000" w:rsidRPr="002B1605" w:rsidP="002B1605">
      <w:pPr>
        <w:pStyle w:val="ListBullet2"/>
      </w:pPr>
      <w:r w:rsidRPr="002B1605">
        <w:t>avoidance of bias in language</w:t>
      </w:r>
    </w:p>
    <w:p w:rsidR="00000000" w:rsidRPr="002B1605" w:rsidP="002B1605">
      <w:pPr>
        <w:pStyle w:val="ListBullet"/>
      </w:pPr>
      <w:r w:rsidRPr="002B1605">
        <w:t>key aspects of legislation:</w:t>
      </w:r>
    </w:p>
    <w:p w:rsidR="00000000" w:rsidRPr="002B1605" w:rsidP="002B1605">
      <w:pPr>
        <w:pStyle w:val="ListBullet2"/>
      </w:pPr>
      <w:r w:rsidRPr="002B1605">
        <w:t xml:space="preserve">direct discrimination </w:t>
      </w:r>
    </w:p>
    <w:p w:rsidR="00000000" w:rsidRPr="002B1605" w:rsidP="002B1605">
      <w:pPr>
        <w:pStyle w:val="ListBullet2"/>
      </w:pPr>
      <w:r w:rsidRPr="002B1605">
        <w:t>indirect discriminati</w:t>
      </w:r>
      <w:r w:rsidRPr="002B1605">
        <w:t>on</w:t>
      </w:r>
    </w:p>
    <w:p w:rsidR="00000000" w:rsidRPr="002B1605" w:rsidP="002B1605">
      <w:pPr>
        <w:pStyle w:val="ListBullet2"/>
      </w:pPr>
      <w:r w:rsidRPr="002B1605">
        <w:t>grounds of discrimination</w:t>
      </w:r>
    </w:p>
    <w:p w:rsidR="00000000" w:rsidRPr="002B1605" w:rsidP="002B1605">
      <w:pPr>
        <w:pStyle w:val="ListBullet2"/>
      </w:pPr>
      <w:r w:rsidRPr="002B1605">
        <w:t>areas of discrimination</w:t>
      </w:r>
    </w:p>
    <w:p w:rsidR="00000000" w:rsidRPr="002B1605" w:rsidP="002B1605">
      <w:pPr>
        <w:pStyle w:val="ListBullet"/>
      </w:pPr>
      <w:r w:rsidRPr="002B1605">
        <w:t>key principles of:</w:t>
      </w:r>
    </w:p>
    <w:p w:rsidR="00000000" w:rsidRPr="002B1605" w:rsidP="002B1605">
      <w:pPr>
        <w:pStyle w:val="ListBullet2"/>
      </w:pPr>
      <w:r w:rsidRPr="002B1605">
        <w:t>inclusion</w:t>
      </w:r>
    </w:p>
    <w:p w:rsidR="00000000" w:rsidRPr="002B1605" w:rsidP="002B1605">
      <w:pPr>
        <w:pStyle w:val="ListBullet2"/>
      </w:pPr>
      <w:r w:rsidRPr="002B1605">
        <w:t>equal employment opportunity</w:t>
      </w:r>
    </w:p>
    <w:p w:rsidR="00000000" w:rsidRPr="002B1605" w:rsidP="002B1605">
      <w:pPr>
        <w:pStyle w:val="ListBullet2"/>
      </w:pPr>
      <w:r w:rsidRPr="002B1605">
        <w:t>access and equity</w:t>
      </w:r>
    </w:p>
    <w:p w:rsidR="00000000" w:rsidRPr="002B1605" w:rsidP="002B1605">
      <w:pPr>
        <w:pStyle w:val="ListBullet"/>
      </w:pPr>
      <w:r w:rsidRPr="002B1605">
        <w:t>how to identify and avoid bias in language and organisational communications</w:t>
      </w:r>
    </w:p>
    <w:p w:rsidR="00000000" w:rsidRPr="002B1605" w:rsidP="002B1605">
      <w:pPr>
        <w:pStyle w:val="ListBullet"/>
      </w:pPr>
      <w:r w:rsidRPr="002B1605">
        <w:t>organisational policies, practices and procedures related to diversity and inclusion including:</w:t>
      </w:r>
    </w:p>
    <w:p w:rsidR="00000000" w:rsidRPr="002B1605" w:rsidP="002B1605">
      <w:pPr>
        <w:pStyle w:val="ListBullet2"/>
      </w:pPr>
      <w:r w:rsidRPr="002B1605">
        <w:t>evidence-based decision-making processes</w:t>
      </w:r>
    </w:p>
    <w:p w:rsidR="00000000" w:rsidRPr="002B1605" w:rsidP="002B1605">
      <w:pPr>
        <w:pStyle w:val="ListBullet2"/>
      </w:pPr>
      <w:r w:rsidRPr="002B1605">
        <w:t xml:space="preserve">reporting requirements and grievance procedures </w:t>
      </w:r>
    </w:p>
    <w:p w:rsidR="00000000" w:rsidRPr="002B1605" w:rsidP="002B1605">
      <w:pPr>
        <w:pStyle w:val="ListBullet"/>
      </w:pPr>
      <w:r w:rsidRPr="002B1605">
        <w:t>strategies to:</w:t>
      </w:r>
    </w:p>
    <w:p w:rsidR="00000000" w:rsidRPr="002B1605" w:rsidP="002B1605">
      <w:pPr>
        <w:pStyle w:val="ListBullet2"/>
      </w:pPr>
      <w:r w:rsidRPr="002B1605">
        <w:t>identify barriers to equity outcomes</w:t>
      </w:r>
    </w:p>
    <w:p w:rsidR="00000000" w:rsidRPr="002B1605" w:rsidP="002B1605">
      <w:pPr>
        <w:pStyle w:val="ListBullet2"/>
      </w:pPr>
      <w:r w:rsidRPr="002B1605">
        <w:t>overcome challe</w:t>
      </w:r>
      <w:r w:rsidRPr="002B1605">
        <w:t>nges associated with workplace diversity and inclusion.</w:t>
      </w:r>
    </w:p>
    <w:p w:rsidR="00000000" w:rsidRPr="002B1605" w:rsidP="002B1605">
      <w:pPr>
        <w:pStyle w:val="AllowPageBreak"/>
      </w:pPr>
    </w:p>
    <w:p w:rsidR="00000000" w:rsidRPr="002B1605" w:rsidP="002B1605">
      <w:pPr>
        <w:pStyle w:val="Heading1"/>
      </w:pPr>
      <w:bookmarkStart w:id="4" w:name="O_1215514"/>
      <w:bookmarkEnd w:id="4"/>
      <w:r w:rsidRPr="002B1605">
        <w:t>Assessment Conditions</w:t>
      </w:r>
    </w:p>
    <w:p w:rsidR="00000000" w:rsidRPr="002B1605" w:rsidP="008B520C">
      <w:pPr>
        <w:pStyle w:val="BodyText"/>
      </w:pPr>
      <w:r w:rsidRPr="002B1605">
        <w:t>Skills must be demonstrated in the workplace or in a simulated environment that reflects workplace conditions</w:t>
      </w:r>
    </w:p>
    <w:p w:rsidR="00000000" w:rsidRPr="002B1605" w:rsidP="008B520C">
      <w:pPr>
        <w:pStyle w:val="BodyText"/>
      </w:pPr>
      <w:r w:rsidRPr="002B1605">
        <w:t>Assessment must ensure access to:</w:t>
      </w:r>
    </w:p>
    <w:p w:rsidR="00000000" w:rsidRPr="002B1605" w:rsidP="002B1605">
      <w:pPr>
        <w:pStyle w:val="ListBullet"/>
      </w:pPr>
      <w:r w:rsidRPr="002B1605">
        <w:t xml:space="preserve">legislation and standards that underpin or impact on diversity and inclusion in the organisation </w:t>
      </w:r>
    </w:p>
    <w:p w:rsidR="00000000" w:rsidRPr="002B1605" w:rsidP="002B1605">
      <w:pPr>
        <w:pStyle w:val="ListBullet"/>
      </w:pPr>
      <w:r w:rsidRPr="002B1605">
        <w:t xml:space="preserve">organisational policies, practices and procedures for diversity and inclusion </w:t>
      </w:r>
    </w:p>
    <w:p w:rsidR="00000000" w:rsidRPr="002B1605" w:rsidP="002B1605">
      <w:pPr>
        <w:pStyle w:val="ListBullet"/>
      </w:pPr>
      <w:r w:rsidRPr="002B1605">
        <w:t>sources of information on diversity, equity and inclusion issues including data</w:t>
      </w:r>
      <w:r w:rsidRPr="002B1605">
        <w:t xml:space="preserve"> and reports used in the organisation.</w:t>
      </w:r>
    </w:p>
    <w:p w:rsidR="00000000" w:rsidRPr="002B1605" w:rsidP="008B520C">
      <w:pPr>
        <w:pStyle w:val="BodyText"/>
      </w:pPr>
      <w:r w:rsidRPr="002B1605">
        <w:t>Assessors must satisfy the Standards for Registered Training Organisations’ requirements for assessors.</w:t>
      </w:r>
    </w:p>
    <w:p w:rsidR="00000000" w:rsidRPr="002B1605" w:rsidP="002B1605">
      <w:pPr>
        <w:pStyle w:val="Heading1"/>
      </w:pPr>
      <w:bookmarkStart w:id="5" w:name="O_1215517"/>
      <w:bookmarkEnd w:id="5"/>
      <w:r w:rsidRPr="002B1605">
        <w:t>Links</w:t>
      </w:r>
    </w:p>
    <w:p w:rsidR="00000000" w:rsidRPr="002B1605" w:rsidP="008B520C">
      <w:pPr>
        <w:pStyle w:val="BodyText"/>
      </w:pPr>
      <w:r w:rsidRPr="002B1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3E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1605" w:rsidP="002B1605"/>
    <w:sectPr w:rsidSect="002B1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05" w:rsidRPr="008B520C" w:rsidP="008B5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C" w:rsidP="002B1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520C" w:rsidP="002B1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520C" w:rsidP="002B1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605" w:rsidRPr="008B520C" w:rsidP="008B5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C" w:rsidRPr="002D2AF8" w:rsidP="002B1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PSPGEN116 Facilitate the effective implementation of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8B520C" w:rsidP="002B1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5E0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64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EB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605"/>
  </w:style>
  <w:style w:type="character" w:customStyle="1" w:styleId="Heading1Char">
    <w:name w:val="Heading 1 Char"/>
    <w:basedOn w:val="DefaultParagraphFont"/>
    <w:link w:val="Heading1"/>
    <w:rsid w:val="002B1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6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16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605"/>
    <w:rPr>
      <w:b/>
      <w:spacing w:val="0"/>
    </w:rPr>
  </w:style>
  <w:style w:type="paragraph" w:customStyle="1" w:styleId="SuperTitle">
    <w:name w:val="SuperTitle"/>
    <w:basedOn w:val="Title"/>
    <w:rsid w:val="002B1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605"/>
    <w:rPr>
      <w:i/>
    </w:rPr>
  </w:style>
  <w:style w:type="paragraph" w:styleId="Caption">
    <w:name w:val="caption"/>
    <w:basedOn w:val="BodyText"/>
    <w:next w:val="Normal"/>
    <w:qFormat/>
    <w:rsid w:val="002B1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605"/>
  </w:style>
  <w:style w:type="paragraph" w:styleId="TableofFigures">
    <w:name w:val="table of figures"/>
    <w:basedOn w:val="Normal"/>
    <w:next w:val="Normal"/>
    <w:semiHidden/>
    <w:rsid w:val="002B1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6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605"/>
    <w:rPr>
      <w:rFonts w:ascii="Wingdings" w:hAnsi="Wingdings"/>
    </w:rPr>
  </w:style>
  <w:style w:type="paragraph" w:customStyle="1" w:styleId="TableHeading">
    <w:name w:val="Table Heading"/>
    <w:basedOn w:val="HeadingBase"/>
    <w:rsid w:val="002B1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605"/>
    <w:rPr>
      <w:color w:val="0033CC"/>
      <w:u w:val="none"/>
    </w:rPr>
  </w:style>
  <w:style w:type="paragraph" w:customStyle="1" w:styleId="BodyTextRight">
    <w:name w:val="Body Text Right"/>
    <w:basedOn w:val="BodyText"/>
    <w:rsid w:val="002B1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605"/>
    <w:rPr>
      <w:sz w:val="32"/>
    </w:rPr>
  </w:style>
  <w:style w:type="paragraph" w:customStyle="1" w:styleId="HeadingProcedure">
    <w:name w:val="Heading Procedure"/>
    <w:basedOn w:val="HeadingBase"/>
    <w:next w:val="Normal"/>
    <w:rsid w:val="002B1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605"/>
    <w:pPr>
      <w:spacing w:before="60" w:after="60"/>
    </w:pPr>
  </w:style>
  <w:style w:type="paragraph" w:styleId="ListContinue">
    <w:name w:val="List Continue"/>
    <w:basedOn w:val="List"/>
    <w:rsid w:val="002B1605"/>
    <w:pPr>
      <w:ind w:firstLine="0"/>
    </w:pPr>
  </w:style>
  <w:style w:type="paragraph" w:customStyle="1" w:styleId="ListNote">
    <w:name w:val="List Note"/>
    <w:basedOn w:val="List"/>
    <w:rsid w:val="002B1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605"/>
    <w:rPr>
      <w:rFonts w:ascii="Courier New" w:hAnsi="Courier New"/>
    </w:rPr>
  </w:style>
  <w:style w:type="paragraph" w:customStyle="1" w:styleId="NoteBullet">
    <w:name w:val="Note Bullet"/>
    <w:basedOn w:val="Note"/>
    <w:rsid w:val="002B1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6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605"/>
    <w:rPr>
      <w:b/>
      <w:smallCaps/>
    </w:rPr>
  </w:style>
  <w:style w:type="paragraph" w:customStyle="1" w:styleId="TableListNumber">
    <w:name w:val="Table List Number"/>
    <w:basedOn w:val="ListNumber"/>
    <w:rsid w:val="002B1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605"/>
    <w:pPr>
      <w:numPr>
        <w:numId w:val="9"/>
      </w:numPr>
    </w:pPr>
  </w:style>
  <w:style w:type="paragraph" w:customStyle="1" w:styleId="ListAlpha2">
    <w:name w:val="List Alpha 2"/>
    <w:basedOn w:val="List2"/>
    <w:rsid w:val="002B1605"/>
    <w:pPr>
      <w:numPr>
        <w:numId w:val="8"/>
      </w:numPr>
    </w:pPr>
  </w:style>
  <w:style w:type="paragraph" w:styleId="List2">
    <w:name w:val="List 2"/>
    <w:basedOn w:val="BodyText"/>
    <w:rsid w:val="002B1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6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605"/>
    <w:pPr>
      <w:numPr>
        <w:numId w:val="4"/>
      </w:numPr>
    </w:pPr>
  </w:style>
  <w:style w:type="paragraph" w:styleId="ListContinue2">
    <w:name w:val="List Continue 2"/>
    <w:basedOn w:val="List2"/>
    <w:rsid w:val="002B1605"/>
    <w:pPr>
      <w:ind w:firstLine="0"/>
    </w:pPr>
  </w:style>
  <w:style w:type="paragraph" w:styleId="ListContinue3">
    <w:name w:val="List Continue 3"/>
    <w:basedOn w:val="List3"/>
    <w:rsid w:val="002B1605"/>
    <w:pPr>
      <w:ind w:left="1021" w:firstLine="0"/>
    </w:pPr>
  </w:style>
  <w:style w:type="paragraph" w:styleId="ListContinue4">
    <w:name w:val="List Continue 4"/>
    <w:basedOn w:val="List4"/>
    <w:rsid w:val="002B1605"/>
    <w:pPr>
      <w:ind w:firstLine="0"/>
    </w:pPr>
  </w:style>
  <w:style w:type="paragraph" w:styleId="ListContinue5">
    <w:name w:val="List Continue 5"/>
    <w:basedOn w:val="List5"/>
    <w:rsid w:val="002B1605"/>
    <w:pPr>
      <w:ind w:firstLine="0"/>
    </w:pPr>
  </w:style>
  <w:style w:type="paragraph" w:styleId="ListNumber3">
    <w:name w:val="List Number 3"/>
    <w:basedOn w:val="List3"/>
    <w:rsid w:val="002B1605"/>
    <w:pPr>
      <w:numPr>
        <w:numId w:val="5"/>
      </w:numPr>
    </w:pPr>
  </w:style>
  <w:style w:type="paragraph" w:styleId="ListNumber4">
    <w:name w:val="List Number 4"/>
    <w:basedOn w:val="List4"/>
    <w:rsid w:val="002B1605"/>
    <w:pPr>
      <w:numPr>
        <w:numId w:val="6"/>
      </w:numPr>
    </w:pPr>
  </w:style>
  <w:style w:type="paragraph" w:styleId="ListNumber5">
    <w:name w:val="List Number 5"/>
    <w:basedOn w:val="List5"/>
    <w:rsid w:val="002B1605"/>
    <w:pPr>
      <w:numPr>
        <w:numId w:val="7"/>
      </w:numPr>
    </w:pPr>
  </w:style>
  <w:style w:type="paragraph" w:styleId="BlockText">
    <w:name w:val="Block Text"/>
    <w:basedOn w:val="Normal"/>
    <w:rsid w:val="002B1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605"/>
    <w:rPr>
      <w:sz w:val="16"/>
      <w:vertAlign w:val="superscript"/>
    </w:rPr>
  </w:style>
  <w:style w:type="character" w:customStyle="1" w:styleId="Symbols">
    <w:name w:val="Symbols"/>
    <w:basedOn w:val="DefaultParagraphFont"/>
    <w:rsid w:val="002B1605"/>
    <w:rPr>
      <w:rFonts w:ascii="Symbol" w:hAnsi="Symbol"/>
    </w:rPr>
  </w:style>
  <w:style w:type="character" w:customStyle="1" w:styleId="MenuOptions">
    <w:name w:val="Menu Options"/>
    <w:basedOn w:val="DefaultParagraphFont"/>
    <w:rsid w:val="002B1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605"/>
    <w:rPr>
      <w:b/>
    </w:rPr>
  </w:style>
  <w:style w:type="character" w:customStyle="1" w:styleId="Underlined">
    <w:name w:val="Underlined"/>
    <w:basedOn w:val="DefaultParagraphFont"/>
    <w:rsid w:val="002B1605"/>
    <w:rPr>
      <w:u w:val="single"/>
    </w:rPr>
  </w:style>
  <w:style w:type="paragraph" w:customStyle="1" w:styleId="TableBodyTextRight">
    <w:name w:val="Table Body Text Right"/>
    <w:basedOn w:val="TableBodyText"/>
    <w:rsid w:val="002B1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605"/>
    <w:rPr>
      <w:sz w:val="18"/>
    </w:rPr>
  </w:style>
  <w:style w:type="paragraph" w:customStyle="1" w:styleId="BodySmallRight">
    <w:name w:val="Body Small Right"/>
    <w:basedOn w:val="BodyTextRight"/>
    <w:rsid w:val="002B1605"/>
    <w:rPr>
      <w:sz w:val="18"/>
      <w:szCs w:val="18"/>
    </w:rPr>
  </w:style>
  <w:style w:type="paragraph" w:customStyle="1" w:styleId="MarginEdition">
    <w:name w:val="Margin Edition"/>
    <w:basedOn w:val="MarginNote"/>
    <w:rsid w:val="002B1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605"/>
    <w:rPr>
      <w:sz w:val="2"/>
      <w:szCs w:val="2"/>
    </w:rPr>
  </w:style>
  <w:style w:type="character" w:customStyle="1" w:styleId="Small">
    <w:name w:val="Small"/>
    <w:basedOn w:val="DefaultParagraphFont"/>
    <w:rsid w:val="002B1605"/>
    <w:rPr>
      <w:sz w:val="16"/>
    </w:rPr>
  </w:style>
  <w:style w:type="paragraph" w:customStyle="1" w:styleId="WideTable">
    <w:name w:val="Wide Table"/>
    <w:basedOn w:val="Normal"/>
    <w:rsid w:val="002B1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605"/>
  </w:style>
  <w:style w:type="paragraph" w:styleId="Quote">
    <w:name w:val="Quote"/>
    <w:basedOn w:val="Heading1"/>
    <w:link w:val="QuoteChar"/>
    <w:qFormat/>
    <w:rsid w:val="002B1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605"/>
    <w:pPr>
      <w:pageBreakBefore/>
    </w:pPr>
  </w:style>
  <w:style w:type="paragraph" w:customStyle="1" w:styleId="Border">
    <w:name w:val="Border"/>
    <w:basedOn w:val="Normal"/>
    <w:qFormat/>
    <w:rsid w:val="002B1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605"/>
    <w:rPr>
      <w:u w:val="single"/>
    </w:rPr>
  </w:style>
  <w:style w:type="character" w:customStyle="1" w:styleId="BoldandItalics">
    <w:name w:val="Bold and Italics"/>
    <w:qFormat/>
    <w:rsid w:val="002B1605"/>
    <w:rPr>
      <w:b/>
      <w:i/>
      <w:u w:val="none"/>
    </w:rPr>
  </w:style>
  <w:style w:type="paragraph" w:styleId="BalloonText">
    <w:name w:val="Balloon Text"/>
    <w:basedOn w:val="Normal"/>
    <w:link w:val="BalloonTextChar"/>
    <w:rsid w:val="002B1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605"/>
    <w:pPr>
      <w:spacing w:before="0" w:after="0"/>
    </w:pPr>
  </w:style>
  <w:style w:type="paragraph" w:customStyle="1" w:styleId="BodyTextBold">
    <w:name w:val="Body Text Bold"/>
    <w:basedOn w:val="BodyText"/>
    <w:qFormat/>
    <w:rsid w:val="002B1605"/>
    <w:rPr>
      <w:b/>
    </w:rPr>
  </w:style>
  <w:style w:type="character" w:styleId="Hyperlink">
    <w:name w:val="Hyperlink"/>
    <w:basedOn w:val="DefaultParagraphFont"/>
    <w:uiPriority w:val="99"/>
    <w:unhideWhenUsed/>
    <w:rsid w:val="008B5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2371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PSPGEN116 Facilitate the effective implementation of diversity and inclusion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