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CA7" w:rsidP="003D1C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PSPGEN112 Apply government systems</w:t>
      </w:r>
      <w:r>
        <w:fldChar w:fldCharType="end"/>
      </w:r>
    </w:p>
    <w:p w:rsidR="003D1CA7" w:rsidP="003D1CA7">
      <w:pPr>
        <w:pStyle w:val="Version"/>
        <w:sectPr w:rsidSect="00B531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199" w:rsidP="00B53199">
      <w:pPr>
        <w:pStyle w:val="SuperHeading"/>
      </w:pPr>
      <w:r w:rsidRPr="00B53199">
        <w:t>PSPGEN112 Apply government systems</w:t>
      </w:r>
    </w:p>
    <w:p w:rsidR="00000000" w:rsidRPr="00B53199" w:rsidP="00B53199">
      <w:pPr>
        <w:pStyle w:val="Heading1"/>
      </w:pPr>
      <w:bookmarkStart w:id="1" w:name="O_1215425"/>
      <w:bookmarkEnd w:id="1"/>
      <w:r w:rsidRPr="00B53199">
        <w:t>Modification History</w:t>
      </w:r>
    </w:p>
    <w:p w:rsidR="00000000" w:rsidRPr="00B53199" w:rsidP="003D1CA7">
      <w:pPr>
        <w:pStyle w:val="BodyText"/>
      </w:pPr>
      <w:r w:rsidRPr="00B53199">
        <w:t>Supersedes and is equivalent to PSPGEN066 Apply government systems.</w:t>
      </w:r>
    </w:p>
    <w:p w:rsidR="00000000" w:rsidRPr="00B53199" w:rsidP="00B53199">
      <w:pPr>
        <w:pStyle w:val="Heading1"/>
      </w:pPr>
      <w:bookmarkStart w:id="2" w:name="O_1215426"/>
      <w:bookmarkEnd w:id="2"/>
      <w:r w:rsidRPr="00B53199">
        <w:t>Application</w:t>
      </w:r>
    </w:p>
    <w:p w:rsidR="00000000" w:rsidRPr="00B53199" w:rsidP="003D1CA7">
      <w:pPr>
        <w:pStyle w:val="BodyText"/>
      </w:pPr>
      <w:r w:rsidRPr="00B53199">
        <w:t>This unit describes the performance outcomes, skills and knowledge required to effectively apply government systems to work in the publi</w:t>
      </w:r>
      <w:r w:rsidRPr="00B53199">
        <w:t xml:space="preserve">c sector and similar environments including statutory authorities. </w:t>
      </w:r>
    </w:p>
    <w:p w:rsidR="00000000" w:rsidRPr="00B53199" w:rsidP="003D1CA7">
      <w:pPr>
        <w:pStyle w:val="BodyText"/>
      </w:pPr>
      <w:r w:rsidRPr="00B53199">
        <w:t xml:space="preserve">This unit applies to those working in generalist and specialist roles within the public sector, including statutory authorities. </w:t>
      </w:r>
    </w:p>
    <w:p w:rsidR="00000000" w:rsidRPr="00B53199" w:rsidP="003D1CA7">
      <w:pPr>
        <w:pStyle w:val="BodyText"/>
      </w:pPr>
      <w:r w:rsidRPr="00B53199">
        <w:t>Those undertaking this unit work independently seeking adv</w:t>
      </w:r>
      <w:r w:rsidRPr="00B53199">
        <w:t>ice as required, performing complex tasks in a range of familiar and unfamiliar contexts.</w:t>
      </w:r>
    </w:p>
    <w:p w:rsidR="00000000" w:rsidRPr="00B53199" w:rsidP="003D1CA7">
      <w:pPr>
        <w:pStyle w:val="BodyText"/>
      </w:pPr>
      <w:r w:rsidRPr="00B53199">
        <w:t>The skills in this unit must be applied in accordance with Commonwealth and State or Territory legislation, Australian standards and industry codes of practice.</w:t>
      </w:r>
    </w:p>
    <w:p w:rsidR="00000000" w:rsidRPr="00B53199" w:rsidP="003D1CA7">
      <w:pPr>
        <w:pStyle w:val="BodyText"/>
      </w:pPr>
      <w:r w:rsidRPr="00B53199">
        <w:t>No oc</w:t>
      </w:r>
      <w:r w:rsidRPr="00B53199">
        <w:t>cupational licensing, certification or specific legislative requirements apply to this unit at the time of publication.</w:t>
      </w:r>
    </w:p>
    <w:p w:rsidR="00000000" w:rsidRPr="00B53199" w:rsidP="00B53199">
      <w:pPr>
        <w:pStyle w:val="Heading1"/>
      </w:pPr>
      <w:bookmarkStart w:id="3" w:name="O_1215427"/>
      <w:bookmarkEnd w:id="3"/>
      <w:r w:rsidRPr="00B53199">
        <w:t>Pre-requisite Unit</w:t>
      </w:r>
    </w:p>
    <w:p w:rsidR="00000000" w:rsidRPr="00B53199" w:rsidP="003D1CA7">
      <w:pPr>
        <w:pStyle w:val="BodyText"/>
      </w:pPr>
      <w:r w:rsidRPr="00B53199">
        <w:t xml:space="preserve">Nil </w:t>
      </w:r>
    </w:p>
    <w:p w:rsidR="00000000" w:rsidRPr="00B53199" w:rsidP="00B53199">
      <w:pPr>
        <w:pStyle w:val="Heading1"/>
      </w:pPr>
      <w:bookmarkStart w:id="4" w:name="O_1215428"/>
      <w:bookmarkEnd w:id="4"/>
      <w:r w:rsidRPr="00B53199">
        <w:t>Competency Field</w:t>
      </w:r>
    </w:p>
    <w:p w:rsidR="00000000" w:rsidRPr="00B53199" w:rsidP="003D1CA7">
      <w:pPr>
        <w:pStyle w:val="BodyText"/>
      </w:pPr>
      <w:r w:rsidRPr="00B53199">
        <w:t>General</w:t>
      </w:r>
    </w:p>
    <w:p w:rsidR="00000000" w:rsidRPr="00B53199" w:rsidP="00B53199">
      <w:pPr>
        <w:pStyle w:val="Heading1"/>
      </w:pPr>
      <w:bookmarkStart w:id="5" w:name="O_1215430"/>
      <w:bookmarkEnd w:id="5"/>
      <w:r w:rsidRPr="00B53199">
        <w:t>Elements and Performance Crite</w:t>
      </w:r>
      <w:r w:rsidRPr="00B53199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34"/>
        <w:gridCol w:w="6110"/>
      </w:tblGrid>
      <w:tr w:rsidTr="00B53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199" w:rsidP="00B53199">
            <w:pPr>
              <w:pStyle w:val="BodyText"/>
            </w:pPr>
            <w:r w:rsidRPr="00B53199">
              <w:rPr>
                <w:rStyle w:val="SpecialBold"/>
              </w:rPr>
              <w:t>ELEMENTS</w:t>
            </w:r>
          </w:p>
        </w:tc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199">
            <w:pPr>
              <w:pStyle w:val="BodyText"/>
              <w:rPr>
                <w:lang w:val="en-NZ"/>
              </w:rPr>
            </w:pPr>
            <w:r w:rsidRPr="00B53199">
              <w:rPr>
                <w:rStyle w:val="SpecialBold"/>
              </w:rPr>
              <w:t>PERFORMANCE</w:t>
            </w:r>
            <w:r w:rsidRPr="00B53199">
              <w:t xml:space="preserve"> </w:t>
            </w:r>
            <w:r w:rsidRPr="00B53199">
              <w:rPr>
                <w:rStyle w:val="SpecialBold"/>
              </w:rPr>
              <w:t>CRITERIA</w:t>
            </w:r>
          </w:p>
        </w:tc>
      </w:tr>
      <w:tr w:rsidTr="00B53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199" w:rsidP="00B53199">
            <w:pPr>
              <w:pStyle w:val="BodyText"/>
            </w:pPr>
            <w:r w:rsidRPr="00B53199">
              <w:rPr>
                <w:rStyle w:val="Emphasis"/>
              </w:rPr>
              <w:t xml:space="preserve">Elements describe the </w:t>
            </w:r>
            <w:r w:rsidRPr="00B53199">
              <w:t xml:space="preserve">essential </w:t>
            </w:r>
            <w:r w:rsidRPr="00B53199">
              <w:rPr>
                <w:rStyle w:val="Emphasis"/>
              </w:rPr>
              <w:t>outcomes</w:t>
            </w:r>
          </w:p>
        </w:tc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199">
            <w:pPr>
              <w:pStyle w:val="BodyText"/>
              <w:rPr>
                <w:lang w:val="en-NZ"/>
              </w:rPr>
            </w:pPr>
            <w:r w:rsidRPr="00B531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3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9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199">
            <w:pPr>
              <w:pStyle w:val="List"/>
              <w:rPr>
                <w:lang w:val="en-NZ"/>
              </w:rPr>
            </w:pPr>
            <w:r w:rsidRPr="00B53199">
              <w:t>1.  Apply knowledge of organisational linkages.</w:t>
            </w:r>
          </w:p>
        </w:tc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199" w:rsidP="00B53199">
            <w:pPr>
              <w:pStyle w:val="List"/>
            </w:pPr>
            <w:r w:rsidRPr="00B53199">
              <w:t>1.1. Identify organisational linkages with government, quasi government and non-government organisations and reassess regularly to maintain currency of information.</w:t>
            </w:r>
          </w:p>
          <w:p w:rsidR="00000000" w:rsidP="00B53199">
            <w:pPr>
              <w:pStyle w:val="List"/>
              <w:rPr>
                <w:lang w:val="en-NZ"/>
              </w:rPr>
            </w:pPr>
            <w:r w:rsidRPr="00B53199">
              <w:t>1.2. Use comprehensive and up-to-date knowledge of organisational linkages in making decisi</w:t>
            </w:r>
            <w:r w:rsidRPr="00B53199">
              <w:t>ons and taking advice and actions.</w:t>
            </w:r>
          </w:p>
        </w:tc>
      </w:tr>
      <w:tr w:rsidTr="00B53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80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199">
            <w:pPr>
              <w:pStyle w:val="List"/>
              <w:rPr>
                <w:lang w:val="en-NZ"/>
              </w:rPr>
            </w:pPr>
            <w:r w:rsidRPr="00B53199">
              <w:t>2.  Apply knowledge of inter-governmental linkages.</w:t>
            </w:r>
          </w:p>
        </w:tc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199" w:rsidP="00B53199">
            <w:pPr>
              <w:pStyle w:val="List"/>
            </w:pPr>
            <w:r w:rsidRPr="00B53199">
              <w:t>2.1. Identify and reassess linkages between governments regularly to maintain currency of information.</w:t>
            </w:r>
          </w:p>
          <w:p w:rsidR="00000000" w:rsidP="00B53199">
            <w:pPr>
              <w:pStyle w:val="List"/>
              <w:rPr>
                <w:lang w:val="en-NZ"/>
              </w:rPr>
            </w:pPr>
            <w:r w:rsidRPr="00B53199">
              <w:t>2.1. Use comprehensive and up-to-date knowledge of linkages betwe</w:t>
            </w:r>
            <w:r w:rsidRPr="00B53199">
              <w:t>en governments in making decisions and taking advice and actions.</w:t>
            </w:r>
          </w:p>
        </w:tc>
      </w:tr>
      <w:tr w:rsidTr="00B53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199">
            <w:pPr>
              <w:pStyle w:val="List"/>
              <w:rPr>
                <w:lang w:val="en-NZ"/>
              </w:rPr>
            </w:pPr>
            <w:r w:rsidRPr="00B53199">
              <w:t>3.  Apply knowledge of political context.</w:t>
            </w:r>
          </w:p>
        </w:tc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199" w:rsidP="00B53199">
            <w:pPr>
              <w:pStyle w:val="List"/>
            </w:pPr>
            <w:r w:rsidRPr="00B53199">
              <w:t>3.1. Source information from inside and outside the organisation and confirm its authenticity and reliability.</w:t>
            </w:r>
          </w:p>
          <w:p w:rsidR="00000000" w:rsidRPr="00B53199" w:rsidP="00B53199">
            <w:pPr>
              <w:pStyle w:val="List"/>
            </w:pPr>
            <w:r w:rsidRPr="00B53199">
              <w:t>3.2. Analyse the political, social and economic environment and take into account emerging trends, and current and possible future goals of the organisation.</w:t>
            </w:r>
          </w:p>
          <w:p w:rsidR="00000000" w:rsidRPr="00B53199" w:rsidP="00B53199">
            <w:pPr>
              <w:pStyle w:val="List"/>
            </w:pPr>
            <w:r w:rsidRPr="00B53199">
              <w:t>3.3. Demonstrate comprehensive and up-to-date knowledge of the current political environment in de</w:t>
            </w:r>
            <w:r w:rsidRPr="00B53199">
              <w:t>cisions, advice and actions taken.</w:t>
            </w:r>
          </w:p>
        </w:tc>
      </w:tr>
    </w:tbl>
    <w:p w:rsidR="00000000" w:rsidRPr="00B53199" w:rsidP="00B53199">
      <w:pPr>
        <w:pStyle w:val="List"/>
      </w:pPr>
    </w:p>
    <w:p w:rsidR="00000000" w:rsidRPr="00B53199" w:rsidP="00B53199">
      <w:pPr>
        <w:pStyle w:val="AllowPageBreak"/>
      </w:pPr>
    </w:p>
    <w:p w:rsidR="00000000" w:rsidRPr="00B53199" w:rsidP="00B53199">
      <w:pPr>
        <w:pStyle w:val="Heading1"/>
      </w:pPr>
      <w:bookmarkStart w:id="6" w:name="O_1215431"/>
      <w:bookmarkEnd w:id="6"/>
      <w:r w:rsidRPr="00B53199">
        <w:t>Foundation Skills</w:t>
      </w:r>
    </w:p>
    <w:p w:rsidR="00000000" w:rsidRPr="00B53199" w:rsidP="003D1CA7">
      <w:pPr>
        <w:pStyle w:val="BodyText"/>
      </w:pPr>
      <w:r w:rsidRPr="00B53199">
        <w:t>Foundation skills essential to performance are explicit in the performance criteria of this unit of competency.</w:t>
      </w:r>
    </w:p>
    <w:p w:rsidR="00000000" w:rsidRPr="00B53199" w:rsidP="00B53199">
      <w:pPr>
        <w:pStyle w:val="Heading1"/>
      </w:pPr>
      <w:bookmarkStart w:id="7" w:name="O_1215433"/>
      <w:bookmarkEnd w:id="7"/>
      <w:r w:rsidRPr="00B53199">
        <w:t>Unit Mapping Information</w:t>
      </w:r>
    </w:p>
    <w:p w:rsidR="00000000" w:rsidRPr="00B53199" w:rsidP="003D1CA7">
      <w:pPr>
        <w:pStyle w:val="BodyText"/>
      </w:pPr>
      <w:r w:rsidRPr="00B53199">
        <w:t>Supersedes and is equivale</w:t>
      </w:r>
      <w:r w:rsidRPr="00B53199">
        <w:t>nt to PSPGEN066 Apply government systems.</w:t>
      </w:r>
    </w:p>
    <w:p w:rsidR="00000000" w:rsidRPr="00B53199" w:rsidP="00B53199">
      <w:pPr>
        <w:pStyle w:val="Heading1"/>
      </w:pPr>
      <w:bookmarkStart w:id="8" w:name="O_1215440"/>
      <w:bookmarkEnd w:id="8"/>
      <w:r w:rsidRPr="00B53199">
        <w:t>Links</w:t>
      </w:r>
    </w:p>
    <w:p w:rsidR="00000000" w:rsidRPr="00B53199" w:rsidP="003D1CA7">
      <w:pPr>
        <w:pStyle w:val="BodyText"/>
      </w:pPr>
      <w:r w:rsidRPr="00B531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778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3199" w:rsidP="003D1CA7">
      <w:pPr>
        <w:pStyle w:val="BodyText"/>
        <w:sectPr w:rsidSect="00B531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3199" w:rsidP="00B53199">
      <w:pPr>
        <w:pStyle w:val="SuperHeading"/>
      </w:pPr>
      <w:r w:rsidRPr="00B53199">
        <w:t>Assessment Requirements for PSPGEN112 Apply government systems</w:t>
      </w:r>
    </w:p>
    <w:p w:rsidR="00000000" w:rsidRPr="00B53199" w:rsidP="00B53199">
      <w:pPr>
        <w:pStyle w:val="Heading1"/>
      </w:pPr>
      <w:bookmarkStart w:id="9" w:name="O_1215435"/>
      <w:bookmarkEnd w:id="9"/>
      <w:r w:rsidRPr="00B53199">
        <w:t>Modification History</w:t>
      </w:r>
    </w:p>
    <w:p w:rsidR="00000000" w:rsidRPr="00B53199" w:rsidP="003D1CA7">
      <w:pPr>
        <w:pStyle w:val="BodyText"/>
      </w:pPr>
      <w:r w:rsidRPr="00B53199">
        <w:t>Supersedes and is equivalent to PSPGEN066 Apply government systems.</w:t>
      </w:r>
    </w:p>
    <w:p w:rsidR="00000000" w:rsidRPr="00B53199" w:rsidP="00B53199">
      <w:pPr>
        <w:pStyle w:val="Heading1"/>
      </w:pPr>
      <w:bookmarkStart w:id="10" w:name="O_1215436"/>
      <w:bookmarkEnd w:id="10"/>
      <w:r w:rsidRPr="00B53199">
        <w:t>Performance Evidence</w:t>
      </w:r>
    </w:p>
    <w:p w:rsidR="00000000" w:rsidRPr="00B53199" w:rsidP="003D1CA7">
      <w:pPr>
        <w:pStyle w:val="BodyText"/>
      </w:pPr>
      <w:r w:rsidRPr="00B53199">
        <w:t xml:space="preserve">Evidence of the ability to complete </w:t>
      </w:r>
      <w:r w:rsidRPr="00B53199">
        <w:t>tasks outlined in elements and performance criteria of this unit in the context of the job role, and on at least one occasion:</w:t>
      </w:r>
    </w:p>
    <w:p w:rsidR="00000000" w:rsidRPr="00B53199" w:rsidP="00B53199">
      <w:pPr>
        <w:pStyle w:val="ListBullet"/>
      </w:pPr>
      <w:r w:rsidRPr="00B53199">
        <w:t>locate, access and authenticate information</w:t>
      </w:r>
    </w:p>
    <w:p w:rsidR="00000000" w:rsidRPr="00B53199" w:rsidP="00B53199">
      <w:pPr>
        <w:pStyle w:val="ListBullet"/>
      </w:pPr>
      <w:r w:rsidRPr="00B53199">
        <w:t>acquire, retain, recall and communicate information</w:t>
      </w:r>
    </w:p>
    <w:p w:rsidR="00000000" w:rsidRPr="00B53199" w:rsidP="00B53199">
      <w:pPr>
        <w:pStyle w:val="ListBullet"/>
      </w:pPr>
      <w:r w:rsidRPr="00B53199">
        <w:t>apply information and protocols</w:t>
      </w:r>
    </w:p>
    <w:p w:rsidR="00000000" w:rsidRPr="00B53199" w:rsidP="00B53199">
      <w:pPr>
        <w:pStyle w:val="ListBullet"/>
      </w:pPr>
      <w:r w:rsidRPr="00B53199">
        <w:t>discard redundant information and interpret version control to access to identify current information</w:t>
      </w:r>
    </w:p>
    <w:p w:rsidR="00000000" w:rsidRPr="00B53199" w:rsidP="00B53199">
      <w:pPr>
        <w:pStyle w:val="ListBullet"/>
      </w:pPr>
      <w:r w:rsidRPr="00B53199">
        <w:t>deal with ambiguity and machinery of government or governance changes.</w:t>
      </w:r>
    </w:p>
    <w:p w:rsidR="00000000" w:rsidRPr="00B53199" w:rsidP="00B53199">
      <w:pPr>
        <w:pStyle w:val="AllowPageBreak"/>
      </w:pPr>
    </w:p>
    <w:p w:rsidR="00000000" w:rsidRPr="00B53199" w:rsidP="00B53199">
      <w:pPr>
        <w:pStyle w:val="Heading1"/>
      </w:pPr>
      <w:bookmarkStart w:id="11" w:name="O_1215437"/>
      <w:bookmarkEnd w:id="11"/>
      <w:r w:rsidRPr="00B53199">
        <w:t>Knowledge Evidence</w:t>
      </w:r>
    </w:p>
    <w:p w:rsidR="00000000" w:rsidRPr="00B53199" w:rsidP="003D1CA7">
      <w:pPr>
        <w:pStyle w:val="BodyText"/>
      </w:pPr>
      <w:r w:rsidRPr="00B53199">
        <w:t>Demonstrated knowledge required to complete the tasks outlined in elements and performance criteria of this unit:</w:t>
      </w:r>
    </w:p>
    <w:p w:rsidR="00000000" w:rsidRPr="00B53199" w:rsidP="00B53199">
      <w:pPr>
        <w:pStyle w:val="ListBullet"/>
      </w:pPr>
      <w:r w:rsidRPr="00B53199">
        <w:t>organisations in the public and private sector</w:t>
      </w:r>
    </w:p>
    <w:p w:rsidR="00000000" w:rsidRPr="00B53199" w:rsidP="00B53199">
      <w:pPr>
        <w:pStyle w:val="ListBullet"/>
      </w:pPr>
      <w:r w:rsidRPr="00B53199">
        <w:t>policy, legislation, regulations, guidelines and practices</w:t>
      </w:r>
    </w:p>
    <w:p w:rsidR="00000000" w:rsidRPr="00B53199" w:rsidP="00B53199">
      <w:pPr>
        <w:pStyle w:val="ListBullet"/>
      </w:pPr>
      <w:r w:rsidRPr="00B53199">
        <w:t>codes of ethics, codes of conduct and statements of values relating to the organisation</w:t>
      </w:r>
    </w:p>
    <w:p w:rsidR="00000000" w:rsidRPr="00B53199" w:rsidP="00B53199">
      <w:pPr>
        <w:pStyle w:val="ListBullet"/>
      </w:pPr>
      <w:r w:rsidRPr="00B53199">
        <w:t>governance practices</w:t>
      </w:r>
    </w:p>
    <w:p w:rsidR="00000000" w:rsidRPr="00B53199" w:rsidP="00B53199">
      <w:pPr>
        <w:pStyle w:val="ListBullet"/>
      </w:pPr>
      <w:r w:rsidRPr="00B53199">
        <w:t>systems thinking</w:t>
      </w:r>
    </w:p>
    <w:p w:rsidR="00000000" w:rsidRPr="00B53199" w:rsidP="00B53199">
      <w:pPr>
        <w:pStyle w:val="ListBullet"/>
      </w:pPr>
      <w:r w:rsidRPr="00B53199">
        <w:t>inter organisational communications strategies and protocols</w:t>
      </w:r>
    </w:p>
    <w:p w:rsidR="00000000" w:rsidRPr="00B53199" w:rsidP="00B53199">
      <w:pPr>
        <w:pStyle w:val="ListBullet"/>
      </w:pPr>
      <w:r w:rsidRPr="00B53199">
        <w:t>organisational and public sector power structures and sources of powe</w:t>
      </w:r>
      <w:r w:rsidRPr="00B53199">
        <w:t>r.</w:t>
      </w:r>
    </w:p>
    <w:p w:rsidR="00000000" w:rsidRPr="00B53199" w:rsidP="00B53199">
      <w:pPr>
        <w:pStyle w:val="AllowPageBreak"/>
      </w:pPr>
    </w:p>
    <w:p w:rsidR="00000000" w:rsidRPr="00B53199" w:rsidP="00B53199">
      <w:pPr>
        <w:pStyle w:val="Heading1"/>
      </w:pPr>
      <w:bookmarkStart w:id="12" w:name="O_1215438"/>
      <w:bookmarkEnd w:id="12"/>
      <w:r w:rsidRPr="00B53199">
        <w:t>Assessment Conditions</w:t>
      </w:r>
    </w:p>
    <w:p w:rsidR="00000000" w:rsidRPr="00B53199" w:rsidP="003D1CA7">
      <w:pPr>
        <w:pStyle w:val="BodyText"/>
      </w:pPr>
      <w:r w:rsidRPr="00B53199">
        <w:t xml:space="preserve">Skills must be demonstrated in the workplace or in a simulated environment that reflects workplace conditions. </w:t>
      </w:r>
    </w:p>
    <w:p w:rsidR="00000000" w:rsidRPr="00B53199" w:rsidP="003D1CA7">
      <w:pPr>
        <w:pStyle w:val="BodyText"/>
      </w:pPr>
      <w:r w:rsidRPr="00B53199">
        <w:t>Assessment must ensure access to:</w:t>
      </w:r>
    </w:p>
    <w:p w:rsidR="00000000" w:rsidRPr="00B53199" w:rsidP="00B53199">
      <w:pPr>
        <w:pStyle w:val="ListBullet"/>
      </w:pPr>
      <w:r w:rsidRPr="00B53199">
        <w:t>policy, legislation, regulations, guidelines and practices</w:t>
      </w:r>
    </w:p>
    <w:p w:rsidR="00000000" w:rsidRPr="00B53199" w:rsidP="00B53199">
      <w:pPr>
        <w:pStyle w:val="ListBullet"/>
      </w:pPr>
      <w:r w:rsidRPr="00B53199">
        <w:t xml:space="preserve">codes </w:t>
      </w:r>
      <w:r w:rsidRPr="00B53199">
        <w:t>of ethics, codes of conduct and statements of values relating to the organisation</w:t>
      </w:r>
    </w:p>
    <w:p w:rsidR="00000000" w:rsidRPr="00B53199" w:rsidP="00B53199">
      <w:pPr>
        <w:pStyle w:val="ListBullet"/>
      </w:pPr>
      <w:r w:rsidRPr="00B53199">
        <w:t>governance information including the Machinery of Government where applicable</w:t>
      </w:r>
    </w:p>
    <w:p w:rsidR="00000000" w:rsidRPr="00B53199" w:rsidP="00B53199">
      <w:pPr>
        <w:pStyle w:val="ListBullet"/>
      </w:pPr>
      <w:r w:rsidRPr="00B53199">
        <w:t>resources and equipment of the working environment.</w:t>
      </w:r>
    </w:p>
    <w:p w:rsidR="00000000" w:rsidRPr="00B53199" w:rsidP="003D1CA7">
      <w:pPr>
        <w:pStyle w:val="BodyText"/>
      </w:pPr>
      <w:r w:rsidRPr="00B53199">
        <w:t>Assessors must satisfy the Standards for Reg</w:t>
      </w:r>
      <w:r w:rsidRPr="00B53199">
        <w:t>istered Training Organisations’ requirements for assessors.</w:t>
      </w:r>
    </w:p>
    <w:p w:rsidR="00000000" w:rsidRPr="00B53199" w:rsidP="00B53199">
      <w:pPr>
        <w:pStyle w:val="Heading1"/>
      </w:pPr>
      <w:bookmarkStart w:id="13" w:name="O_1215441"/>
      <w:bookmarkEnd w:id="13"/>
      <w:r w:rsidRPr="00B53199">
        <w:t>Links</w:t>
      </w:r>
    </w:p>
    <w:p w:rsidR="00000000" w:rsidRPr="00B53199" w:rsidP="003D1CA7">
      <w:pPr>
        <w:pStyle w:val="BodyText"/>
      </w:pPr>
      <w:r w:rsidRPr="00B531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778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3199" w:rsidP="00B53199"/>
    <w:sectPr w:rsidSect="00B531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99" w:rsidRPr="003D1CA7" w:rsidP="003D1C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A7" w:rsidP="00B53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1CA7" w:rsidP="00B53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D1CA7" w:rsidP="00B531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99" w:rsidP="00B53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1CA7">
      <w:t>Approved</w:t>
    </w:r>
    <w:r w:rsidR="003D1C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1C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1CA7">
      <w:rPr>
        <w:noProof/>
      </w:rPr>
      <w:t>4</w:t>
    </w:r>
    <w:r>
      <w:rPr>
        <w:noProof/>
      </w:rPr>
      <w:fldChar w:fldCharType="end"/>
    </w:r>
  </w:p>
  <w:p w:rsidR="00B53199" w:rsidP="00B53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1C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1CA7">
      <w:t>Public Skills Australia</w:t>
    </w:r>
    <w:r w:rsidR="003D1CA7">
      <w:fldChar w:fldCharType="end"/>
    </w:r>
  </w:p>
  <w:p w:rsidR="00B53199" w:rsidP="00B531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199" w:rsidRPr="003D1CA7" w:rsidP="003D1C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A7" w:rsidRPr="002D2AF8" w:rsidP="00B53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PSPGEN112 Apply government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1CA7" w:rsidP="00B531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99" w:rsidRPr="002D2AF8" w:rsidP="00B53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1CA7">
      <w:t>PSPGEN112 Apply government systems</w:t>
    </w:r>
    <w:r w:rsidR="003D1C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1CA7">
      <w:rPr>
        <w:noProof/>
      </w:rPr>
      <w:t>2 March 2025</w:t>
    </w:r>
    <w:r>
      <w:fldChar w:fldCharType="end"/>
    </w:r>
  </w:p>
  <w:p w:rsidR="00B53199" w:rsidP="00B531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886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C6F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1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1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1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1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1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1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1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1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1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1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1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199"/>
  </w:style>
  <w:style w:type="character" w:customStyle="1" w:styleId="Heading1Char">
    <w:name w:val="Heading 1 Char"/>
    <w:basedOn w:val="DefaultParagraphFont"/>
    <w:link w:val="Heading1"/>
    <w:rsid w:val="00B531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1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1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31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31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199"/>
    <w:rPr>
      <w:b/>
      <w:spacing w:val="0"/>
    </w:rPr>
  </w:style>
  <w:style w:type="character" w:styleId="Emphasis">
    <w:name w:val="Emphasis"/>
    <w:basedOn w:val="DefaultParagraphFont"/>
    <w:qFormat/>
    <w:rsid w:val="00B53199"/>
    <w:rPr>
      <w:i/>
    </w:rPr>
  </w:style>
  <w:style w:type="paragraph" w:customStyle="1" w:styleId="SuperHeading">
    <w:name w:val="SuperHeading"/>
    <w:basedOn w:val="Normal"/>
    <w:rsid w:val="00B531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1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1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1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1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1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1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1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1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1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1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1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1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1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1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1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31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1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1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1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1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1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1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1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1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1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1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1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1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1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1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1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1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199"/>
  </w:style>
  <w:style w:type="paragraph" w:styleId="TableofFigures">
    <w:name w:val="table of figures"/>
    <w:basedOn w:val="Normal"/>
    <w:next w:val="Normal"/>
    <w:semiHidden/>
    <w:rsid w:val="00B531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1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199"/>
    <w:rPr>
      <w:rFonts w:ascii="Wingdings" w:hAnsi="Wingdings"/>
    </w:rPr>
  </w:style>
  <w:style w:type="paragraph" w:customStyle="1" w:styleId="TableHeading">
    <w:name w:val="Table Heading"/>
    <w:basedOn w:val="HeadingBase"/>
    <w:rsid w:val="00B531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199"/>
    <w:rPr>
      <w:color w:val="0033CC"/>
      <w:u w:val="none"/>
    </w:rPr>
  </w:style>
  <w:style w:type="paragraph" w:customStyle="1" w:styleId="BodyTextRight">
    <w:name w:val="Body Text Right"/>
    <w:basedOn w:val="BodyText"/>
    <w:rsid w:val="00B531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1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1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1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1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1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199"/>
    <w:rPr>
      <w:sz w:val="32"/>
    </w:rPr>
  </w:style>
  <w:style w:type="paragraph" w:customStyle="1" w:styleId="HeadingProcedure">
    <w:name w:val="Heading Procedure"/>
    <w:basedOn w:val="HeadingBase"/>
    <w:next w:val="Normal"/>
    <w:rsid w:val="00B531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199"/>
    <w:pPr>
      <w:spacing w:before="60" w:after="60"/>
    </w:pPr>
  </w:style>
  <w:style w:type="paragraph" w:styleId="ListContinue">
    <w:name w:val="List Continue"/>
    <w:basedOn w:val="List"/>
    <w:rsid w:val="00B53199"/>
    <w:pPr>
      <w:ind w:firstLine="0"/>
    </w:pPr>
  </w:style>
  <w:style w:type="paragraph" w:customStyle="1" w:styleId="ListNote">
    <w:name w:val="List Note"/>
    <w:basedOn w:val="List"/>
    <w:rsid w:val="00B531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1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1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199"/>
    <w:rPr>
      <w:rFonts w:ascii="Courier New" w:hAnsi="Courier New"/>
    </w:rPr>
  </w:style>
  <w:style w:type="paragraph" w:customStyle="1" w:styleId="NoteBullet">
    <w:name w:val="Note Bullet"/>
    <w:basedOn w:val="Note"/>
    <w:rsid w:val="00B531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1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1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1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1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1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1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199"/>
    <w:rPr>
      <w:b/>
      <w:smallCaps/>
    </w:rPr>
  </w:style>
  <w:style w:type="paragraph" w:customStyle="1" w:styleId="TableListNumber">
    <w:name w:val="Table List Number"/>
    <w:basedOn w:val="ListNumber"/>
    <w:rsid w:val="00B531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1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199"/>
    <w:pPr>
      <w:numPr>
        <w:numId w:val="8"/>
      </w:numPr>
    </w:pPr>
  </w:style>
  <w:style w:type="paragraph" w:customStyle="1" w:styleId="ListAlpha2">
    <w:name w:val="List Alpha 2"/>
    <w:basedOn w:val="List2"/>
    <w:rsid w:val="00B53199"/>
    <w:pPr>
      <w:numPr>
        <w:numId w:val="7"/>
      </w:numPr>
    </w:pPr>
  </w:style>
  <w:style w:type="paragraph" w:styleId="List2">
    <w:name w:val="List 2"/>
    <w:basedOn w:val="BodyText"/>
    <w:rsid w:val="00B531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1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1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1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1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1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199"/>
    <w:pPr>
      <w:numPr>
        <w:numId w:val="3"/>
      </w:numPr>
    </w:pPr>
  </w:style>
  <w:style w:type="paragraph" w:styleId="ListContinue2">
    <w:name w:val="List Continue 2"/>
    <w:basedOn w:val="List2"/>
    <w:rsid w:val="00B53199"/>
    <w:pPr>
      <w:ind w:firstLine="0"/>
    </w:pPr>
  </w:style>
  <w:style w:type="paragraph" w:styleId="ListContinue3">
    <w:name w:val="List Continue 3"/>
    <w:basedOn w:val="List3"/>
    <w:rsid w:val="00B53199"/>
    <w:pPr>
      <w:ind w:left="1021" w:firstLine="0"/>
    </w:pPr>
  </w:style>
  <w:style w:type="paragraph" w:styleId="ListContinue4">
    <w:name w:val="List Continue 4"/>
    <w:basedOn w:val="List4"/>
    <w:rsid w:val="00B53199"/>
    <w:pPr>
      <w:ind w:firstLine="0"/>
    </w:pPr>
  </w:style>
  <w:style w:type="paragraph" w:styleId="ListContinue5">
    <w:name w:val="List Continue 5"/>
    <w:basedOn w:val="List5"/>
    <w:rsid w:val="00B53199"/>
    <w:pPr>
      <w:ind w:firstLine="0"/>
    </w:pPr>
  </w:style>
  <w:style w:type="paragraph" w:styleId="ListNumber3">
    <w:name w:val="List Number 3"/>
    <w:basedOn w:val="List3"/>
    <w:rsid w:val="00B53199"/>
    <w:pPr>
      <w:numPr>
        <w:numId w:val="4"/>
      </w:numPr>
    </w:pPr>
  </w:style>
  <w:style w:type="paragraph" w:styleId="ListNumber4">
    <w:name w:val="List Number 4"/>
    <w:basedOn w:val="List4"/>
    <w:rsid w:val="00B53199"/>
    <w:pPr>
      <w:numPr>
        <w:numId w:val="5"/>
      </w:numPr>
    </w:pPr>
  </w:style>
  <w:style w:type="paragraph" w:styleId="ListNumber5">
    <w:name w:val="List Number 5"/>
    <w:basedOn w:val="List5"/>
    <w:rsid w:val="00B53199"/>
    <w:pPr>
      <w:numPr>
        <w:numId w:val="6"/>
      </w:numPr>
    </w:pPr>
  </w:style>
  <w:style w:type="paragraph" w:styleId="BlockText">
    <w:name w:val="Block Text"/>
    <w:basedOn w:val="Normal"/>
    <w:rsid w:val="00B531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1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199"/>
    <w:rPr>
      <w:sz w:val="16"/>
      <w:vertAlign w:val="superscript"/>
    </w:rPr>
  </w:style>
  <w:style w:type="character" w:customStyle="1" w:styleId="Symbols">
    <w:name w:val="Symbols"/>
    <w:basedOn w:val="DefaultParagraphFont"/>
    <w:rsid w:val="00B53199"/>
    <w:rPr>
      <w:rFonts w:ascii="Symbol" w:hAnsi="Symbol"/>
    </w:rPr>
  </w:style>
  <w:style w:type="character" w:customStyle="1" w:styleId="MenuOptions">
    <w:name w:val="Menu Options"/>
    <w:basedOn w:val="DefaultParagraphFont"/>
    <w:rsid w:val="00B531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199"/>
    <w:rPr>
      <w:b/>
    </w:rPr>
  </w:style>
  <w:style w:type="character" w:customStyle="1" w:styleId="Underlined">
    <w:name w:val="Underlined"/>
    <w:basedOn w:val="DefaultParagraphFont"/>
    <w:rsid w:val="00B53199"/>
    <w:rPr>
      <w:u w:val="single"/>
    </w:rPr>
  </w:style>
  <w:style w:type="paragraph" w:customStyle="1" w:styleId="TableBodyTextRight">
    <w:name w:val="Table Body Text Right"/>
    <w:basedOn w:val="TableBodyText"/>
    <w:rsid w:val="00B531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199"/>
    <w:rPr>
      <w:sz w:val="18"/>
    </w:rPr>
  </w:style>
  <w:style w:type="paragraph" w:customStyle="1" w:styleId="BodySmallRight">
    <w:name w:val="Body Small Right"/>
    <w:basedOn w:val="BodyTextRight"/>
    <w:rsid w:val="00B53199"/>
    <w:rPr>
      <w:sz w:val="18"/>
      <w:szCs w:val="18"/>
    </w:rPr>
  </w:style>
  <w:style w:type="paragraph" w:customStyle="1" w:styleId="MarginEdition">
    <w:name w:val="Margin Edition"/>
    <w:basedOn w:val="MarginNote"/>
    <w:rsid w:val="00B531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199"/>
    <w:rPr>
      <w:sz w:val="2"/>
      <w:szCs w:val="2"/>
    </w:rPr>
  </w:style>
  <w:style w:type="character" w:customStyle="1" w:styleId="Small">
    <w:name w:val="Small"/>
    <w:basedOn w:val="DefaultParagraphFont"/>
    <w:rsid w:val="00B53199"/>
    <w:rPr>
      <w:sz w:val="16"/>
    </w:rPr>
  </w:style>
  <w:style w:type="paragraph" w:customStyle="1" w:styleId="WideTable">
    <w:name w:val="Wide Table"/>
    <w:basedOn w:val="Normal"/>
    <w:rsid w:val="00B531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199"/>
  </w:style>
  <w:style w:type="paragraph" w:styleId="Quote">
    <w:name w:val="Quote"/>
    <w:basedOn w:val="Heading1"/>
    <w:link w:val="QuoteChar"/>
    <w:qFormat/>
    <w:rsid w:val="00B531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1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199"/>
    <w:pPr>
      <w:pageBreakBefore/>
    </w:pPr>
  </w:style>
  <w:style w:type="paragraph" w:customStyle="1" w:styleId="Border">
    <w:name w:val="Border"/>
    <w:basedOn w:val="Normal"/>
    <w:qFormat/>
    <w:rsid w:val="00B531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1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1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1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1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1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1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1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1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199"/>
    <w:rPr>
      <w:u w:val="single"/>
    </w:rPr>
  </w:style>
  <w:style w:type="character" w:customStyle="1" w:styleId="BoldandItalics">
    <w:name w:val="Bold and Italics"/>
    <w:qFormat/>
    <w:rsid w:val="00B53199"/>
    <w:rPr>
      <w:b/>
      <w:i/>
      <w:u w:val="none"/>
    </w:rPr>
  </w:style>
  <w:style w:type="paragraph" w:styleId="BalloonText">
    <w:name w:val="Balloon Text"/>
    <w:basedOn w:val="Normal"/>
    <w:link w:val="BalloonTextChar"/>
    <w:rsid w:val="00B531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1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1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1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1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1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199"/>
    <w:pPr>
      <w:spacing w:before="0" w:after="0"/>
    </w:pPr>
  </w:style>
  <w:style w:type="paragraph" w:customStyle="1" w:styleId="BodyTextBold">
    <w:name w:val="Body Text Bold"/>
    <w:basedOn w:val="BodyText"/>
    <w:qFormat/>
    <w:rsid w:val="00B53199"/>
    <w:rPr>
      <w:b/>
    </w:rPr>
  </w:style>
  <w:style w:type="character" w:styleId="Hyperlink">
    <w:name w:val="Hyperlink"/>
    <w:basedOn w:val="DefaultParagraphFont"/>
    <w:uiPriority w:val="99"/>
    <w:unhideWhenUsed/>
    <w:rsid w:val="003D1C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4154</Characters>
  <Application>Microsoft Office Word</Application>
  <DocSecurity>0</DocSecurity>
  <Lines>122</Lines>
  <Paragraphs>78</Paragraphs>
  <ScaleCrop>false</ScaleCrop>
  <Company>Author-it Software Corporation Ltd.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PSPGEN112 Apply government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2025-03-01T17:14:00Z</dcterms:created>
  <dcterms:modified xsi:type="dcterms:W3CDTF">2025-03-01T17:14:00Z</dcterms:modified>
</cp:coreProperties>
</file>