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7D6" w:rsidP="00F60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PSPGEN110 Apply complex public sector financial requirements</w:t>
      </w:r>
      <w:r>
        <w:fldChar w:fldCharType="end"/>
      </w:r>
    </w:p>
    <w:p w:rsidR="00F607D6" w:rsidP="00F607D6">
      <w:pPr>
        <w:pStyle w:val="Version"/>
        <w:sectPr w:rsidSect="00050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A3A" w:rsidP="00050A3A">
      <w:pPr>
        <w:pStyle w:val="SuperHeading"/>
      </w:pPr>
      <w:r w:rsidRPr="00050A3A">
        <w:t>PSPGEN110 Apply complex public sector financial requirements</w:t>
      </w:r>
    </w:p>
    <w:p w:rsidR="00000000" w:rsidRPr="00050A3A" w:rsidP="00050A3A">
      <w:pPr>
        <w:pStyle w:val="Heading1"/>
      </w:pPr>
      <w:bookmarkStart w:id="1" w:name="O_1215387"/>
      <w:bookmarkEnd w:id="1"/>
      <w:r w:rsidRPr="00050A3A">
        <w:t>Modification History</w:t>
      </w:r>
    </w:p>
    <w:p w:rsidR="00000000" w:rsidRPr="00050A3A" w:rsidP="00F607D6">
      <w:pPr>
        <w:pStyle w:val="BodyText"/>
      </w:pPr>
      <w:r w:rsidRPr="00050A3A">
        <w:t>Supersedes and is equivalent to PSPGEN078 Apply complex public sector financial requirements.</w:t>
      </w:r>
    </w:p>
    <w:p w:rsidR="00000000" w:rsidRPr="00050A3A" w:rsidP="00050A3A">
      <w:pPr>
        <w:pStyle w:val="Heading1"/>
      </w:pPr>
      <w:bookmarkStart w:id="2" w:name="O_1215388"/>
      <w:bookmarkEnd w:id="2"/>
      <w:r w:rsidRPr="00050A3A">
        <w:t>Application</w:t>
      </w:r>
    </w:p>
    <w:p w:rsidR="00000000" w:rsidRPr="00050A3A" w:rsidP="00F607D6">
      <w:pPr>
        <w:pStyle w:val="BodyText"/>
      </w:pPr>
      <w:r w:rsidRPr="00050A3A">
        <w:t>This unit describes the performance outcomes, skills and knowledge required to interpret com</w:t>
      </w:r>
      <w:r w:rsidRPr="00050A3A">
        <w:t xml:space="preserve">plex financial policies and procedures and provide advice on complex financial issues. </w:t>
      </w:r>
    </w:p>
    <w:p w:rsidR="00000000" w:rsidRPr="00050A3A" w:rsidP="00F607D6">
      <w:pPr>
        <w:pStyle w:val="BodyText"/>
      </w:pPr>
      <w:r w:rsidRPr="00050A3A">
        <w:t>This unit applies to those working in the public sector in specialist financial roles. Those undertaking this unit work autonomously, supervising others where necessary</w:t>
      </w:r>
      <w:r w:rsidRPr="00050A3A">
        <w:t>. They perform complex tasks in a familiar context.</w:t>
      </w:r>
    </w:p>
    <w:p w:rsidR="00000000" w:rsidRPr="00050A3A" w:rsidP="00F607D6">
      <w:pPr>
        <w:pStyle w:val="BodyText"/>
      </w:pPr>
      <w:r w:rsidRPr="00050A3A">
        <w:t>The skills in this unit must be applied in accordance with Commonwealth and State or Territory legislation, Australian standards and industry codes of practice.</w:t>
      </w:r>
    </w:p>
    <w:p w:rsidR="00000000" w:rsidRPr="00050A3A" w:rsidP="00F607D6">
      <w:pPr>
        <w:pStyle w:val="BodyText"/>
      </w:pPr>
      <w:r w:rsidRPr="00050A3A">
        <w:t>No occupational licensing, certification or</w:t>
      </w:r>
      <w:r w:rsidRPr="00050A3A">
        <w:t xml:space="preserve"> specific legislative requirements apply to this unit at the time of publication.</w:t>
      </w:r>
    </w:p>
    <w:p w:rsidR="00000000" w:rsidRPr="00050A3A" w:rsidP="00050A3A">
      <w:pPr>
        <w:pStyle w:val="Heading1"/>
      </w:pPr>
      <w:bookmarkStart w:id="3" w:name="O_1215389"/>
      <w:bookmarkEnd w:id="3"/>
      <w:r w:rsidRPr="00050A3A">
        <w:t>Pre-requisite Unit</w:t>
      </w:r>
    </w:p>
    <w:p w:rsidR="00000000" w:rsidRPr="00050A3A" w:rsidP="00F607D6">
      <w:pPr>
        <w:pStyle w:val="BodyText"/>
      </w:pPr>
      <w:r w:rsidRPr="00050A3A">
        <w:t xml:space="preserve">Nil </w:t>
      </w:r>
    </w:p>
    <w:p w:rsidR="00000000" w:rsidRPr="00050A3A" w:rsidP="00050A3A">
      <w:pPr>
        <w:pStyle w:val="Heading1"/>
      </w:pPr>
      <w:bookmarkStart w:id="4" w:name="O_1215390"/>
      <w:bookmarkEnd w:id="4"/>
      <w:r w:rsidRPr="00050A3A">
        <w:t>Competency Field</w:t>
      </w:r>
    </w:p>
    <w:p w:rsidR="00000000" w:rsidRPr="00050A3A" w:rsidP="00F607D6">
      <w:pPr>
        <w:pStyle w:val="BodyText"/>
      </w:pPr>
      <w:r w:rsidRPr="00050A3A">
        <w:t>General</w:t>
      </w:r>
    </w:p>
    <w:p w:rsidR="00000000" w:rsidRPr="00050A3A" w:rsidP="00050A3A">
      <w:pPr>
        <w:pStyle w:val="Heading1"/>
      </w:pPr>
      <w:bookmarkStart w:id="5" w:name="O_1215392"/>
      <w:bookmarkEnd w:id="5"/>
      <w:r w:rsidRPr="00050A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5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A3A" w:rsidP="00050A3A">
            <w:pPr>
              <w:pStyle w:val="BodyText"/>
            </w:pPr>
            <w:r w:rsidRPr="00050A3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A3A">
            <w:pPr>
              <w:pStyle w:val="BodyText"/>
              <w:rPr>
                <w:lang w:val="en-NZ"/>
              </w:rPr>
            </w:pPr>
            <w:r w:rsidRPr="00050A3A">
              <w:rPr>
                <w:rStyle w:val="SpecialBold"/>
              </w:rPr>
              <w:t>PERFORMANCE</w:t>
            </w:r>
            <w:r w:rsidRPr="00050A3A">
              <w:t xml:space="preserve"> </w:t>
            </w:r>
            <w:r w:rsidRPr="00050A3A">
              <w:rPr>
                <w:rStyle w:val="SpecialBold"/>
              </w:rPr>
              <w:t>CRITERIA</w:t>
            </w:r>
          </w:p>
        </w:tc>
      </w:tr>
      <w:tr w:rsidTr="0005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A3A" w:rsidP="00050A3A">
            <w:pPr>
              <w:pStyle w:val="BodyText"/>
            </w:pPr>
            <w:r w:rsidRPr="00050A3A">
              <w:rPr>
                <w:rStyle w:val="Emphasis"/>
              </w:rPr>
              <w:t>Ele</w:t>
            </w:r>
            <w:r w:rsidRPr="00050A3A">
              <w:rPr>
                <w:rStyle w:val="Emphasis"/>
              </w:rPr>
              <w:t>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A3A">
            <w:pPr>
              <w:pStyle w:val="BodyText"/>
              <w:rPr>
                <w:lang w:val="en-NZ"/>
              </w:rPr>
            </w:pPr>
            <w:r w:rsidRPr="00050A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A3A">
            <w:pPr>
              <w:pStyle w:val="List"/>
              <w:rPr>
                <w:lang w:val="en-NZ"/>
              </w:rPr>
            </w:pPr>
            <w:r w:rsidRPr="00050A3A">
              <w:t>1.  Interpret and apply complex public sector financial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A3A" w:rsidP="00050A3A">
            <w:pPr>
              <w:pStyle w:val="List"/>
            </w:pPr>
            <w:r w:rsidRPr="00050A3A">
              <w:t>1.1. Identify public sector financial requirements.</w:t>
            </w:r>
          </w:p>
          <w:p w:rsidR="00000000" w:rsidRPr="00050A3A" w:rsidP="00050A3A">
            <w:pPr>
              <w:pStyle w:val="List"/>
            </w:pPr>
            <w:r w:rsidRPr="00050A3A">
              <w:t>1.2. Interpret and explain public sector financial management compliance framework hierarchy to ensure organisational compliance with framework requirements.</w:t>
            </w:r>
          </w:p>
          <w:p w:rsidR="00000000" w:rsidRPr="00050A3A" w:rsidP="00050A3A">
            <w:pPr>
              <w:pStyle w:val="List"/>
            </w:pPr>
            <w:r w:rsidRPr="00050A3A">
              <w:t>1.3. Provide advice regarding interpretation of public sector financial policies and procedures a</w:t>
            </w:r>
            <w:r w:rsidRPr="00050A3A">
              <w:t xml:space="preserve">nd accounting standards. </w:t>
            </w:r>
          </w:p>
          <w:p w:rsidR="00000000" w:rsidRPr="00050A3A" w:rsidP="00050A3A">
            <w:pPr>
              <w:pStyle w:val="List"/>
            </w:pPr>
            <w:r w:rsidRPr="00050A3A">
              <w:t>1.4. Interpret and provide information on organisational financial controls and accountabilities to management and staff.</w:t>
            </w:r>
          </w:p>
          <w:p w:rsidR="00000000" w:rsidP="00050A3A">
            <w:pPr>
              <w:pStyle w:val="List"/>
              <w:rPr>
                <w:lang w:val="en-NZ"/>
              </w:rPr>
            </w:pPr>
            <w:r w:rsidRPr="00050A3A">
              <w:t>1.5. Develop and refine business solutions for the organisation based on the framework.</w:t>
            </w:r>
          </w:p>
        </w:tc>
      </w:tr>
      <w:tr w:rsidTr="0005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A3A">
            <w:pPr>
              <w:pStyle w:val="List"/>
              <w:rPr>
                <w:lang w:val="en-NZ"/>
              </w:rPr>
            </w:pPr>
            <w:r w:rsidRPr="00050A3A">
              <w:t>2.  Establish and a</w:t>
            </w:r>
            <w:r w:rsidRPr="00050A3A">
              <w:t>pply internal financial controls.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A3A" w:rsidP="00050A3A">
            <w:pPr>
              <w:pStyle w:val="List"/>
            </w:pPr>
            <w:r w:rsidRPr="00050A3A">
              <w:t>2.1. Analyse current internal controls for improvement and revise or replace as required.</w:t>
            </w:r>
          </w:p>
          <w:p w:rsidR="00000000" w:rsidRPr="00050A3A" w:rsidP="00050A3A">
            <w:pPr>
              <w:pStyle w:val="List"/>
            </w:pPr>
            <w:r w:rsidRPr="00050A3A">
              <w:t>2.2. Review controls to ensure they include effective delegation levels, lines of responsibility, and associated accountabilities.</w:t>
            </w:r>
          </w:p>
          <w:p w:rsidR="00000000" w:rsidRPr="00050A3A" w:rsidP="00050A3A">
            <w:pPr>
              <w:pStyle w:val="List"/>
            </w:pPr>
            <w:r w:rsidRPr="00050A3A">
              <w:t>2</w:t>
            </w:r>
            <w:r w:rsidRPr="00050A3A">
              <w:t>.3. Check controls for consistency with government policy and organisational structure.</w:t>
            </w:r>
          </w:p>
          <w:p w:rsidR="00000000" w:rsidP="00050A3A">
            <w:pPr>
              <w:pStyle w:val="List"/>
              <w:rPr>
                <w:lang w:val="en-NZ"/>
              </w:rPr>
            </w:pPr>
            <w:r w:rsidRPr="00050A3A">
              <w:t>2.4. Implement, document and make accessible systems and surrounding control procedures.</w:t>
            </w:r>
          </w:p>
        </w:tc>
      </w:tr>
      <w:tr w:rsidTr="0005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A3A">
            <w:pPr>
              <w:pStyle w:val="List"/>
              <w:rPr>
                <w:lang w:val="en-NZ"/>
              </w:rPr>
            </w:pPr>
            <w:r w:rsidRPr="00050A3A">
              <w:t>3.  Formulate and maintain financial policy and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A3A" w:rsidP="00050A3A">
            <w:pPr>
              <w:pStyle w:val="List"/>
            </w:pPr>
            <w:r w:rsidRPr="00050A3A">
              <w:t>3.1. Interpret public sector financial policies and procedures and provide advice on the implications for organisational financial policies and procedures.</w:t>
            </w:r>
          </w:p>
          <w:p w:rsidR="00000000" w:rsidRPr="00050A3A" w:rsidP="00050A3A">
            <w:pPr>
              <w:pStyle w:val="List"/>
            </w:pPr>
            <w:r w:rsidRPr="00050A3A">
              <w:t>3.2. Develop and approve organisational financial policies and procedures.</w:t>
            </w:r>
          </w:p>
          <w:p w:rsidR="00000000" w:rsidRPr="00050A3A" w:rsidP="00050A3A">
            <w:pPr>
              <w:pStyle w:val="List"/>
            </w:pPr>
            <w:r w:rsidRPr="00050A3A">
              <w:t>3.3. Provide input to int</w:t>
            </w:r>
            <w:r w:rsidRPr="00050A3A">
              <w:t>er-departmental accounting groups responsible for policy development.</w:t>
            </w:r>
          </w:p>
          <w:p w:rsidR="00000000" w:rsidRPr="00050A3A" w:rsidP="00050A3A">
            <w:pPr>
              <w:pStyle w:val="List"/>
            </w:pPr>
            <w:r w:rsidRPr="00050A3A">
              <w:t>3.4. Develop policies to meet regulatory and legislative requirements.</w:t>
            </w:r>
          </w:p>
        </w:tc>
      </w:tr>
    </w:tbl>
    <w:p w:rsidR="00F607D6" w:rsidP="00050A3A">
      <w:pPr>
        <w:pStyle w:val="List"/>
      </w:pPr>
    </w:p>
    <w:p w:rsidR="00F607D6" w:rsidP="00050A3A">
      <w:pPr>
        <w:pStyle w:val="List"/>
      </w:pPr>
    </w:p>
    <w:p w:rsidR="00000000" w:rsidRPr="00050A3A" w:rsidP="00050A3A">
      <w:pPr>
        <w:pStyle w:val="Heading1"/>
      </w:pPr>
      <w:bookmarkStart w:id="6" w:name="O_1215393"/>
      <w:bookmarkEnd w:id="6"/>
      <w:r w:rsidRPr="00050A3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5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A3A">
            <w:pPr>
              <w:pStyle w:val="BodyText"/>
              <w:rPr>
                <w:lang w:val="en-NZ"/>
              </w:rPr>
            </w:pPr>
            <w:r w:rsidRPr="00050A3A">
              <w:rPr>
                <w:rStyle w:val="Emphasis"/>
              </w:rPr>
              <w:t>Foundation skills essential to performance in this unit, but not explicit i</w:t>
            </w:r>
            <w:r w:rsidRPr="00050A3A">
              <w:rPr>
                <w:rStyle w:val="Emphasis"/>
              </w:rPr>
              <w:t xml:space="preserve">n the performance </w:t>
            </w:r>
            <w:r w:rsidRPr="00050A3A">
              <w:t xml:space="preserve">criteria are listed </w:t>
            </w:r>
            <w:r w:rsidRPr="00050A3A">
              <w:rPr>
                <w:rStyle w:val="Emphasis"/>
              </w:rPr>
              <w:t>here, along with a brief context statement.</w:t>
            </w:r>
          </w:p>
        </w:tc>
      </w:tr>
      <w:tr w:rsidTr="0005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A3A" w:rsidP="00050A3A">
            <w:pPr>
              <w:pStyle w:val="BodyText"/>
            </w:pPr>
            <w:r w:rsidRPr="00050A3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A3A">
            <w:pPr>
              <w:pStyle w:val="BodyText"/>
              <w:rPr>
                <w:lang w:val="en-NZ"/>
              </w:rPr>
            </w:pPr>
            <w:r w:rsidRPr="00050A3A">
              <w:rPr>
                <w:rStyle w:val="SpecialBold"/>
              </w:rPr>
              <w:t>DESCRIPTION</w:t>
            </w:r>
          </w:p>
        </w:tc>
      </w:tr>
      <w:tr w:rsidTr="0005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A3A">
            <w:pPr>
              <w:pStyle w:val="BodyText"/>
              <w:rPr>
                <w:lang w:val="en-NZ"/>
              </w:rPr>
            </w:pPr>
            <w:r w:rsidRPr="00050A3A">
              <w:t>Enterprise and initiative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A3A" w:rsidP="00050A3A">
            <w:pPr>
              <w:pStyle w:val="ListBullet"/>
            </w:pPr>
            <w:r w:rsidRPr="00050A3A">
              <w:t>analyse and interpret organisation experience in addressing financial requirements</w:t>
            </w:r>
          </w:p>
          <w:p w:rsidR="00000000" w:rsidRPr="00050A3A" w:rsidP="00050A3A">
            <w:pPr>
              <w:pStyle w:val="ListBullet"/>
            </w:pPr>
            <w:r w:rsidRPr="00050A3A">
              <w:t>develop policies and procedures to support improvements in organisational performance.</w:t>
            </w:r>
          </w:p>
        </w:tc>
      </w:tr>
    </w:tbl>
    <w:p w:rsidR="00F607D6" w:rsidP="00050A3A">
      <w:pPr>
        <w:pStyle w:val="BodyText"/>
      </w:pPr>
    </w:p>
    <w:p w:rsidR="00F607D6" w:rsidP="00050A3A">
      <w:pPr>
        <w:pStyle w:val="BodyText"/>
      </w:pPr>
    </w:p>
    <w:p w:rsidR="00000000" w:rsidRPr="00050A3A" w:rsidP="00050A3A">
      <w:pPr>
        <w:pStyle w:val="Heading1"/>
      </w:pPr>
      <w:bookmarkStart w:id="7" w:name="O_1215395"/>
      <w:bookmarkEnd w:id="7"/>
      <w:r w:rsidRPr="00050A3A">
        <w:t>Unit Mapping Information</w:t>
      </w:r>
    </w:p>
    <w:p w:rsidR="00000000" w:rsidRPr="00050A3A" w:rsidP="00F607D6">
      <w:pPr>
        <w:pStyle w:val="BodyText"/>
      </w:pPr>
      <w:r w:rsidRPr="00050A3A">
        <w:t>Supersedes and is equivalent to PSPGEN078 Apply complex public sector financial requirements.</w:t>
      </w:r>
    </w:p>
    <w:p w:rsidR="00000000" w:rsidRPr="00050A3A" w:rsidP="00050A3A">
      <w:pPr>
        <w:pStyle w:val="Heading1"/>
      </w:pPr>
      <w:bookmarkStart w:id="8" w:name="O_1215402"/>
      <w:bookmarkEnd w:id="8"/>
      <w:r w:rsidRPr="00050A3A">
        <w:t>Links</w:t>
      </w:r>
    </w:p>
    <w:p w:rsidR="00000000" w:rsidRPr="00050A3A" w:rsidP="00F607D6">
      <w:pPr>
        <w:pStyle w:val="BodyText"/>
      </w:pPr>
      <w:r w:rsidRPr="00050A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43C2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50A3A" w:rsidP="00050A3A"/>
    <w:sectPr w:rsidSect="00050A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A3A" w:rsidRPr="00F607D6" w:rsidP="00F60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D6" w:rsidP="00050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7D6" w:rsidP="00050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07D6" w:rsidP="00050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A3A" w:rsidRPr="00F607D6" w:rsidP="00F60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D6" w:rsidRPr="002D2AF8" w:rsidP="00050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PSPGEN110 Apply complex public sector financial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607D6" w:rsidP="00050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921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A686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A3A"/>
  </w:style>
  <w:style w:type="character" w:customStyle="1" w:styleId="Heading1Char">
    <w:name w:val="Heading 1 Char"/>
    <w:basedOn w:val="DefaultParagraphFont"/>
    <w:link w:val="Heading1"/>
    <w:rsid w:val="00050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A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0A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0A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A3A"/>
    <w:rPr>
      <w:b/>
      <w:spacing w:val="0"/>
    </w:rPr>
  </w:style>
  <w:style w:type="character" w:styleId="Emphasis">
    <w:name w:val="Emphasis"/>
    <w:basedOn w:val="DefaultParagraphFont"/>
    <w:qFormat/>
    <w:rsid w:val="00050A3A"/>
    <w:rPr>
      <w:i/>
    </w:rPr>
  </w:style>
  <w:style w:type="paragraph" w:customStyle="1" w:styleId="SuperHeading">
    <w:name w:val="SuperHeading"/>
    <w:basedOn w:val="Normal"/>
    <w:rsid w:val="00050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A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0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0A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0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A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0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A3A"/>
  </w:style>
  <w:style w:type="paragraph" w:styleId="TableofFigures">
    <w:name w:val="table of figures"/>
    <w:basedOn w:val="Normal"/>
    <w:next w:val="Normal"/>
    <w:semiHidden/>
    <w:rsid w:val="00050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A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0A3A"/>
    <w:rPr>
      <w:rFonts w:ascii="Wingdings" w:hAnsi="Wingdings"/>
    </w:rPr>
  </w:style>
  <w:style w:type="paragraph" w:customStyle="1" w:styleId="TableHeading">
    <w:name w:val="Table Heading"/>
    <w:basedOn w:val="HeadingBase"/>
    <w:rsid w:val="00050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A3A"/>
    <w:rPr>
      <w:color w:val="0033CC"/>
      <w:u w:val="none"/>
    </w:rPr>
  </w:style>
  <w:style w:type="paragraph" w:customStyle="1" w:styleId="BodyTextRight">
    <w:name w:val="Body Text Right"/>
    <w:basedOn w:val="BodyText"/>
    <w:rsid w:val="00050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A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A3A"/>
    <w:rPr>
      <w:sz w:val="32"/>
    </w:rPr>
  </w:style>
  <w:style w:type="paragraph" w:customStyle="1" w:styleId="HeadingProcedure">
    <w:name w:val="Heading Procedure"/>
    <w:basedOn w:val="HeadingBase"/>
    <w:next w:val="Normal"/>
    <w:rsid w:val="00050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A3A"/>
    <w:pPr>
      <w:spacing w:before="60" w:after="60"/>
    </w:pPr>
  </w:style>
  <w:style w:type="paragraph" w:styleId="ListContinue">
    <w:name w:val="List Continue"/>
    <w:basedOn w:val="List"/>
    <w:rsid w:val="00050A3A"/>
    <w:pPr>
      <w:ind w:firstLine="0"/>
    </w:pPr>
  </w:style>
  <w:style w:type="paragraph" w:customStyle="1" w:styleId="ListNote">
    <w:name w:val="List Note"/>
    <w:basedOn w:val="List"/>
    <w:rsid w:val="00050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A3A"/>
    <w:rPr>
      <w:rFonts w:ascii="Courier New" w:hAnsi="Courier New"/>
    </w:rPr>
  </w:style>
  <w:style w:type="paragraph" w:customStyle="1" w:styleId="NoteBullet">
    <w:name w:val="Note Bullet"/>
    <w:basedOn w:val="Note"/>
    <w:rsid w:val="00050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A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0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A3A"/>
    <w:rPr>
      <w:b/>
      <w:smallCaps/>
    </w:rPr>
  </w:style>
  <w:style w:type="paragraph" w:customStyle="1" w:styleId="TableListNumber">
    <w:name w:val="Table List Number"/>
    <w:basedOn w:val="ListNumber"/>
    <w:rsid w:val="00050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A3A"/>
    <w:pPr>
      <w:numPr>
        <w:numId w:val="8"/>
      </w:numPr>
    </w:pPr>
  </w:style>
  <w:style w:type="paragraph" w:customStyle="1" w:styleId="ListAlpha2">
    <w:name w:val="List Alpha 2"/>
    <w:basedOn w:val="List2"/>
    <w:rsid w:val="00050A3A"/>
    <w:pPr>
      <w:numPr>
        <w:numId w:val="7"/>
      </w:numPr>
    </w:pPr>
  </w:style>
  <w:style w:type="paragraph" w:styleId="List2">
    <w:name w:val="List 2"/>
    <w:basedOn w:val="BodyText"/>
    <w:rsid w:val="00050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A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A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0A3A"/>
    <w:pPr>
      <w:numPr>
        <w:numId w:val="3"/>
      </w:numPr>
    </w:pPr>
  </w:style>
  <w:style w:type="paragraph" w:styleId="ListContinue2">
    <w:name w:val="List Continue 2"/>
    <w:basedOn w:val="List2"/>
    <w:rsid w:val="00050A3A"/>
    <w:pPr>
      <w:ind w:firstLine="0"/>
    </w:pPr>
  </w:style>
  <w:style w:type="paragraph" w:styleId="ListContinue3">
    <w:name w:val="List Continue 3"/>
    <w:basedOn w:val="List3"/>
    <w:rsid w:val="00050A3A"/>
    <w:pPr>
      <w:ind w:left="1021" w:firstLine="0"/>
    </w:pPr>
  </w:style>
  <w:style w:type="paragraph" w:styleId="ListContinue4">
    <w:name w:val="List Continue 4"/>
    <w:basedOn w:val="List4"/>
    <w:rsid w:val="00050A3A"/>
    <w:pPr>
      <w:ind w:firstLine="0"/>
    </w:pPr>
  </w:style>
  <w:style w:type="paragraph" w:styleId="ListContinue5">
    <w:name w:val="List Continue 5"/>
    <w:basedOn w:val="List5"/>
    <w:rsid w:val="00050A3A"/>
    <w:pPr>
      <w:ind w:firstLine="0"/>
    </w:pPr>
  </w:style>
  <w:style w:type="paragraph" w:styleId="ListNumber3">
    <w:name w:val="List Number 3"/>
    <w:basedOn w:val="List3"/>
    <w:rsid w:val="00050A3A"/>
    <w:pPr>
      <w:numPr>
        <w:numId w:val="4"/>
      </w:numPr>
    </w:pPr>
  </w:style>
  <w:style w:type="paragraph" w:styleId="ListNumber4">
    <w:name w:val="List Number 4"/>
    <w:basedOn w:val="List4"/>
    <w:rsid w:val="00050A3A"/>
    <w:pPr>
      <w:numPr>
        <w:numId w:val="5"/>
      </w:numPr>
    </w:pPr>
  </w:style>
  <w:style w:type="paragraph" w:styleId="ListNumber5">
    <w:name w:val="List Number 5"/>
    <w:basedOn w:val="List5"/>
    <w:rsid w:val="00050A3A"/>
    <w:pPr>
      <w:numPr>
        <w:numId w:val="6"/>
      </w:numPr>
    </w:pPr>
  </w:style>
  <w:style w:type="paragraph" w:styleId="BlockText">
    <w:name w:val="Block Text"/>
    <w:basedOn w:val="Normal"/>
    <w:rsid w:val="00050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A3A"/>
    <w:rPr>
      <w:sz w:val="16"/>
      <w:vertAlign w:val="superscript"/>
    </w:rPr>
  </w:style>
  <w:style w:type="character" w:customStyle="1" w:styleId="Symbols">
    <w:name w:val="Symbols"/>
    <w:basedOn w:val="DefaultParagraphFont"/>
    <w:rsid w:val="00050A3A"/>
    <w:rPr>
      <w:rFonts w:ascii="Symbol" w:hAnsi="Symbol"/>
    </w:rPr>
  </w:style>
  <w:style w:type="character" w:customStyle="1" w:styleId="MenuOptions">
    <w:name w:val="Menu Options"/>
    <w:basedOn w:val="DefaultParagraphFont"/>
    <w:rsid w:val="00050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A3A"/>
    <w:rPr>
      <w:b/>
    </w:rPr>
  </w:style>
  <w:style w:type="character" w:customStyle="1" w:styleId="Underlined">
    <w:name w:val="Underlined"/>
    <w:basedOn w:val="DefaultParagraphFont"/>
    <w:rsid w:val="00050A3A"/>
    <w:rPr>
      <w:u w:val="single"/>
    </w:rPr>
  </w:style>
  <w:style w:type="paragraph" w:customStyle="1" w:styleId="TableBodyTextRight">
    <w:name w:val="Table Body Text Right"/>
    <w:basedOn w:val="TableBodyText"/>
    <w:rsid w:val="00050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A3A"/>
    <w:rPr>
      <w:sz w:val="18"/>
    </w:rPr>
  </w:style>
  <w:style w:type="paragraph" w:customStyle="1" w:styleId="BodySmallRight">
    <w:name w:val="Body Small Right"/>
    <w:basedOn w:val="BodyTextRight"/>
    <w:rsid w:val="00050A3A"/>
    <w:rPr>
      <w:sz w:val="18"/>
      <w:szCs w:val="18"/>
    </w:rPr>
  </w:style>
  <w:style w:type="paragraph" w:customStyle="1" w:styleId="MarginEdition">
    <w:name w:val="Margin Edition"/>
    <w:basedOn w:val="MarginNote"/>
    <w:rsid w:val="00050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A3A"/>
    <w:rPr>
      <w:sz w:val="2"/>
      <w:szCs w:val="2"/>
    </w:rPr>
  </w:style>
  <w:style w:type="character" w:customStyle="1" w:styleId="Small">
    <w:name w:val="Small"/>
    <w:basedOn w:val="DefaultParagraphFont"/>
    <w:rsid w:val="00050A3A"/>
    <w:rPr>
      <w:sz w:val="16"/>
    </w:rPr>
  </w:style>
  <w:style w:type="paragraph" w:customStyle="1" w:styleId="WideTable">
    <w:name w:val="Wide Table"/>
    <w:basedOn w:val="Normal"/>
    <w:rsid w:val="00050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A3A"/>
  </w:style>
  <w:style w:type="paragraph" w:styleId="Quote">
    <w:name w:val="Quote"/>
    <w:basedOn w:val="Heading1"/>
    <w:link w:val="QuoteChar"/>
    <w:qFormat/>
    <w:rsid w:val="00050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A3A"/>
    <w:pPr>
      <w:pageBreakBefore/>
    </w:pPr>
  </w:style>
  <w:style w:type="paragraph" w:customStyle="1" w:styleId="Border">
    <w:name w:val="Border"/>
    <w:basedOn w:val="Normal"/>
    <w:qFormat/>
    <w:rsid w:val="00050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A3A"/>
    <w:rPr>
      <w:u w:val="single"/>
    </w:rPr>
  </w:style>
  <w:style w:type="character" w:customStyle="1" w:styleId="BoldandItalics">
    <w:name w:val="Bold and Italics"/>
    <w:qFormat/>
    <w:rsid w:val="00050A3A"/>
    <w:rPr>
      <w:b/>
      <w:i/>
      <w:u w:val="none"/>
    </w:rPr>
  </w:style>
  <w:style w:type="paragraph" w:styleId="BalloonText">
    <w:name w:val="Balloon Text"/>
    <w:basedOn w:val="Normal"/>
    <w:link w:val="BalloonTextChar"/>
    <w:rsid w:val="00050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A3A"/>
    <w:pPr>
      <w:spacing w:before="0" w:after="0"/>
    </w:pPr>
  </w:style>
  <w:style w:type="paragraph" w:customStyle="1" w:styleId="BodyTextBold">
    <w:name w:val="Body Text Bold"/>
    <w:basedOn w:val="BodyText"/>
    <w:qFormat/>
    <w:rsid w:val="00050A3A"/>
    <w:rPr>
      <w:b/>
    </w:rPr>
  </w:style>
  <w:style w:type="character" w:styleId="Hyperlink">
    <w:name w:val="Hyperlink"/>
    <w:basedOn w:val="DefaultParagraphFont"/>
    <w:uiPriority w:val="99"/>
    <w:unhideWhenUsed/>
    <w:rsid w:val="00F60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3122</Characters>
  <Application>Microsoft Office Word</Application>
  <DocSecurity>0</DocSecurity>
  <Lines>100</Lines>
  <Paragraphs>54</Paragraphs>
  <ScaleCrop>false</ScaleCrop>
  <Company>Author-it Software Corporation Ltd.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PSPGEN110 Apply complex public sector financial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