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754D" w:rsidP="003C75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PSPGEN108 Use public sector financial processes</w:t>
      </w:r>
      <w:r>
        <w:fldChar w:fldCharType="end"/>
      </w:r>
    </w:p>
    <w:p w:rsidR="003C754D" w:rsidP="003C754D">
      <w:pPr>
        <w:pStyle w:val="Version"/>
        <w:sectPr w:rsidSect="00C35F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5F11" w:rsidP="00C35F11">
      <w:pPr>
        <w:pStyle w:val="SuperHeading"/>
      </w:pPr>
      <w:r w:rsidRPr="00C35F11">
        <w:t>PSPGEN108 Use public sector financial processes</w:t>
      </w:r>
    </w:p>
    <w:p w:rsidR="00000000" w:rsidRPr="00C35F11" w:rsidP="00C35F11">
      <w:pPr>
        <w:pStyle w:val="Heading1"/>
      </w:pPr>
      <w:bookmarkStart w:id="1" w:name="O_1215349"/>
      <w:bookmarkEnd w:id="1"/>
      <w:r w:rsidRPr="00C35F11">
        <w:t>Modification History</w:t>
      </w:r>
    </w:p>
    <w:p w:rsidR="00000000" w:rsidRPr="00C35F11" w:rsidP="003C754D">
      <w:pPr>
        <w:pStyle w:val="BodyText"/>
      </w:pPr>
      <w:r w:rsidRPr="00C35F11">
        <w:t>Supersedes and is equivalent to PSPGEN076 Use public sector financial processes.</w:t>
      </w:r>
    </w:p>
    <w:p w:rsidR="00000000" w:rsidRPr="00C35F11" w:rsidP="00C35F11">
      <w:pPr>
        <w:pStyle w:val="Heading1"/>
      </w:pPr>
      <w:bookmarkStart w:id="2" w:name="O_1215350"/>
      <w:bookmarkEnd w:id="2"/>
      <w:r w:rsidRPr="00C35F11">
        <w:t>Application</w:t>
      </w:r>
    </w:p>
    <w:p w:rsidR="00000000" w:rsidRPr="00C35F11" w:rsidP="003C754D">
      <w:pPr>
        <w:pStyle w:val="BodyText"/>
      </w:pPr>
      <w:r w:rsidRPr="00C35F11">
        <w:t>This unit describes the performance outcomes, skills and knowledge required to apply the public sector financial f</w:t>
      </w:r>
      <w:r w:rsidRPr="00C35F11">
        <w:t>ramework and its application to routine financial processes. It requires a basic understanding of the framework.</w:t>
      </w:r>
    </w:p>
    <w:p w:rsidR="00000000" w:rsidRPr="00C35F11" w:rsidP="003C754D">
      <w:pPr>
        <w:pStyle w:val="BodyText"/>
      </w:pPr>
      <w:r w:rsidRPr="00C35F11">
        <w:t>This unit applies to those working in the public sector in a non-specialist finance role but with responsibility for financial duties and proce</w:t>
      </w:r>
      <w:r w:rsidRPr="00C35F11">
        <w:t>sses. Those undertaking this unit work independently with some supervision of others, performing routine tasks in a familiar context.</w:t>
      </w:r>
    </w:p>
    <w:p w:rsidR="00000000" w:rsidRPr="00C35F11" w:rsidP="003C754D">
      <w:pPr>
        <w:pStyle w:val="BodyText"/>
      </w:pPr>
      <w:r w:rsidRPr="00C35F11">
        <w:t>The skills in this unit must be applied in accordance with Commonwealth and State or Territory legislation, Australian sta</w:t>
      </w:r>
      <w:r w:rsidRPr="00C35F11">
        <w:t>ndards and industry codes of practice.</w:t>
      </w:r>
    </w:p>
    <w:p w:rsidR="00000000" w:rsidRPr="00C35F11" w:rsidP="003C754D">
      <w:pPr>
        <w:pStyle w:val="BodyText"/>
      </w:pPr>
      <w:r w:rsidRPr="00C35F11">
        <w:t>No occupational licensing, certification or specific legislative requirements apply to this unit at the time of publication.</w:t>
      </w:r>
    </w:p>
    <w:p w:rsidR="00000000" w:rsidRPr="00C35F11" w:rsidP="00C35F11">
      <w:pPr>
        <w:pStyle w:val="Heading1"/>
      </w:pPr>
      <w:bookmarkStart w:id="3" w:name="O_1215351"/>
      <w:bookmarkEnd w:id="3"/>
      <w:r w:rsidRPr="00C35F11">
        <w:t>Pre-requisite Unit</w:t>
      </w:r>
    </w:p>
    <w:p w:rsidR="00000000" w:rsidRPr="00C35F11" w:rsidP="003C754D">
      <w:pPr>
        <w:pStyle w:val="BodyText"/>
      </w:pPr>
      <w:r w:rsidRPr="00C35F11">
        <w:t xml:space="preserve">Nil </w:t>
      </w:r>
    </w:p>
    <w:p w:rsidR="00000000" w:rsidRPr="00C35F11" w:rsidP="00C35F11">
      <w:pPr>
        <w:pStyle w:val="Heading1"/>
      </w:pPr>
      <w:bookmarkStart w:id="4" w:name="O_1215352"/>
      <w:bookmarkEnd w:id="4"/>
      <w:r w:rsidRPr="00C35F11">
        <w:t>Competency Field</w:t>
      </w:r>
    </w:p>
    <w:p w:rsidR="00000000" w:rsidRPr="00C35F11" w:rsidP="003C754D">
      <w:pPr>
        <w:pStyle w:val="BodyText"/>
      </w:pPr>
      <w:r w:rsidRPr="00C35F11">
        <w:t>General</w:t>
      </w:r>
    </w:p>
    <w:p w:rsidR="00000000" w:rsidRPr="00C35F11" w:rsidP="00C35F11">
      <w:pPr>
        <w:pStyle w:val="Heading1"/>
      </w:pPr>
      <w:bookmarkStart w:id="5" w:name="O_1215354"/>
      <w:bookmarkEnd w:id="5"/>
      <w:r w:rsidRPr="00C35F1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8"/>
        <w:gridCol w:w="6362"/>
      </w:tblGrid>
      <w:tr w:rsidTr="00C35F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F11" w:rsidP="00C35F11">
            <w:pPr>
              <w:pStyle w:val="BodyText"/>
            </w:pPr>
            <w:r w:rsidRPr="00C35F11">
              <w:rPr>
                <w:rStyle w:val="SpecialBold"/>
              </w:rPr>
              <w:t>ELEMENTS</w:t>
            </w:r>
          </w:p>
        </w:tc>
        <w:tc>
          <w:tcPr>
            <w:tcW w:w="63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F11">
            <w:pPr>
              <w:pStyle w:val="BodyText"/>
              <w:rPr>
                <w:lang w:val="en-NZ"/>
              </w:rPr>
            </w:pPr>
            <w:r w:rsidRPr="00C35F11">
              <w:rPr>
                <w:rStyle w:val="SpecialBold"/>
              </w:rPr>
              <w:t>PERFORMANCE</w:t>
            </w:r>
            <w:r w:rsidRPr="00C35F11">
              <w:t xml:space="preserve"> </w:t>
            </w:r>
            <w:r w:rsidRPr="00C35F11">
              <w:rPr>
                <w:rStyle w:val="SpecialBold"/>
              </w:rPr>
              <w:t>CRITERIA</w:t>
            </w:r>
          </w:p>
        </w:tc>
      </w:tr>
      <w:tr w:rsidTr="00C35F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F11" w:rsidP="00C35F11">
            <w:pPr>
              <w:pStyle w:val="BodyText"/>
            </w:pPr>
            <w:r w:rsidRPr="00C35F11">
              <w:rPr>
                <w:rStyle w:val="Emphasis"/>
              </w:rPr>
              <w:t>Elements describe the essential outcomes</w:t>
            </w:r>
          </w:p>
        </w:tc>
        <w:tc>
          <w:tcPr>
            <w:tcW w:w="63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F11">
            <w:pPr>
              <w:pStyle w:val="BodyText"/>
              <w:rPr>
                <w:lang w:val="en-NZ"/>
              </w:rPr>
            </w:pPr>
            <w:r w:rsidRPr="00C35F1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35F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95"/>
        </w:trPr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F11">
            <w:pPr>
              <w:pStyle w:val="List"/>
              <w:rPr>
                <w:lang w:val="en-NZ"/>
              </w:rPr>
            </w:pPr>
            <w:r w:rsidRPr="00C35F11">
              <w:t>1.  Identify public sector financial requirements.</w:t>
            </w:r>
          </w:p>
        </w:tc>
        <w:tc>
          <w:tcPr>
            <w:tcW w:w="63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F11" w:rsidP="00C35F11">
            <w:pPr>
              <w:pStyle w:val="List"/>
            </w:pPr>
            <w:r w:rsidRPr="00C35F11">
              <w:t>1.1. Identify the elements of the public sector financial management compliance framework relevant to the work role and confirm organisational requirements for the application of these elements.</w:t>
            </w:r>
          </w:p>
          <w:p w:rsidR="00000000" w:rsidRPr="00C35F11" w:rsidP="00C35F11">
            <w:pPr>
              <w:pStyle w:val="List"/>
            </w:pPr>
            <w:r w:rsidRPr="00C35F11">
              <w:t>1.2. Ident</w:t>
            </w:r>
            <w:r w:rsidRPr="00C35F11">
              <w:t>ify delegation requirements for work functions.</w:t>
            </w:r>
          </w:p>
          <w:p w:rsidR="00000000" w:rsidRPr="00C35F11" w:rsidP="00C35F11">
            <w:pPr>
              <w:pStyle w:val="List"/>
            </w:pPr>
            <w:r w:rsidRPr="00C35F11">
              <w:t>1.3. Identify internal financial controls and separation of duties relevant to the business unit and identify and clarify the implications of these with senior staff.</w:t>
            </w:r>
          </w:p>
          <w:p w:rsidR="00000000" w:rsidP="00C35F11">
            <w:pPr>
              <w:pStyle w:val="List"/>
              <w:rPr>
                <w:lang w:val="en-NZ"/>
              </w:rPr>
            </w:pPr>
            <w:r w:rsidRPr="00C35F11">
              <w:t>1.4. Locate public sector financial polic</w:t>
            </w:r>
            <w:r w:rsidRPr="00C35F11">
              <w:t>ies and procedures that support the work role and identify their requirements.</w:t>
            </w:r>
          </w:p>
        </w:tc>
      </w:tr>
      <w:tr w:rsidTr="00C35F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F11">
            <w:pPr>
              <w:pStyle w:val="List"/>
              <w:rPr>
                <w:lang w:val="en-NZ"/>
              </w:rPr>
            </w:pPr>
            <w:r w:rsidRPr="00C35F11">
              <w:t>2.  Implement public sector financial requirements.</w:t>
            </w:r>
          </w:p>
        </w:tc>
        <w:tc>
          <w:tcPr>
            <w:tcW w:w="63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F11" w:rsidP="00C35F11">
            <w:pPr>
              <w:pStyle w:val="List"/>
            </w:pPr>
            <w:r w:rsidRPr="00C35F11">
              <w:t>2.1. Carry out and record financial processes in accordance with public sector requirements.</w:t>
            </w:r>
          </w:p>
          <w:p w:rsidR="00000000" w:rsidRPr="00C35F11" w:rsidP="00C35F11">
            <w:pPr>
              <w:pStyle w:val="List"/>
            </w:pPr>
            <w:r w:rsidRPr="00C35F11">
              <w:t>2.2. Differentiate levels of de</w:t>
            </w:r>
            <w:r w:rsidRPr="00C35F11">
              <w:t>legations and implement delegation requirements relating to work functions.</w:t>
            </w:r>
          </w:p>
          <w:p w:rsidR="00000000" w:rsidRPr="00C35F11" w:rsidP="00C35F11">
            <w:pPr>
              <w:pStyle w:val="List"/>
            </w:pPr>
            <w:r w:rsidRPr="00C35F11">
              <w:t>2.3. Apply internal controls in the work area.</w:t>
            </w:r>
          </w:p>
        </w:tc>
      </w:tr>
    </w:tbl>
    <w:p w:rsidR="003C754D" w:rsidP="00C35F11">
      <w:pPr>
        <w:pStyle w:val="List"/>
      </w:pPr>
    </w:p>
    <w:p w:rsidR="003C754D" w:rsidP="00C35F11">
      <w:pPr>
        <w:pStyle w:val="List"/>
      </w:pPr>
    </w:p>
    <w:p w:rsidR="00000000" w:rsidRPr="00C35F11" w:rsidP="00C35F11">
      <w:pPr>
        <w:pStyle w:val="Heading1"/>
      </w:pPr>
      <w:bookmarkStart w:id="6" w:name="O_1215355"/>
      <w:bookmarkEnd w:id="6"/>
      <w:r w:rsidRPr="00C35F11">
        <w:t>Foundation Skills</w:t>
      </w:r>
    </w:p>
    <w:p w:rsidR="00000000" w:rsidRPr="00C35F11" w:rsidP="003C754D">
      <w:pPr>
        <w:pStyle w:val="BodyText"/>
      </w:pPr>
      <w:r w:rsidRPr="00C35F11">
        <w:t>Foundation skills essential to performance are explicit in the performance criteria of this unit of competency.</w:t>
      </w:r>
    </w:p>
    <w:p w:rsidR="00000000" w:rsidRPr="00C35F11" w:rsidP="00C35F11">
      <w:pPr>
        <w:pStyle w:val="Heading1"/>
      </w:pPr>
      <w:bookmarkStart w:id="7" w:name="O_1215357"/>
      <w:bookmarkEnd w:id="7"/>
      <w:r w:rsidRPr="00C35F11">
        <w:t>Unit Mapping Information</w:t>
      </w:r>
    </w:p>
    <w:p w:rsidR="00000000" w:rsidRPr="00C35F11" w:rsidP="003C754D">
      <w:pPr>
        <w:pStyle w:val="BodyText"/>
      </w:pPr>
      <w:r w:rsidRPr="00C35F11">
        <w:t>Supersedes and is equivalent to PSPGEN076 Use public sector financial processes.</w:t>
      </w:r>
    </w:p>
    <w:p w:rsidR="00000000" w:rsidRPr="00C35F11" w:rsidP="00C35F11">
      <w:pPr>
        <w:pStyle w:val="Heading1"/>
      </w:pPr>
      <w:bookmarkStart w:id="8" w:name="O_1215364"/>
      <w:bookmarkEnd w:id="8"/>
      <w:r w:rsidRPr="00C35F11">
        <w:t>Links</w:t>
      </w:r>
    </w:p>
    <w:p w:rsidR="00000000" w:rsidRPr="00C35F11" w:rsidP="003C754D">
      <w:pPr>
        <w:pStyle w:val="BodyText"/>
      </w:pPr>
      <w:r w:rsidRPr="00C35F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B65EE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35F11" w:rsidP="003C754D">
      <w:pPr>
        <w:pStyle w:val="BodyText"/>
        <w:sectPr w:rsidSect="00C35F1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35F11" w:rsidP="00C35F11">
      <w:pPr>
        <w:pStyle w:val="SuperHeading"/>
      </w:pPr>
      <w:r w:rsidRPr="00C35F11">
        <w:t>Assessment Requirements for PSPGEN108 Use public sector f</w:t>
      </w:r>
      <w:r w:rsidRPr="00C35F11">
        <w:t>inancial processes</w:t>
      </w:r>
    </w:p>
    <w:p w:rsidR="00000000" w:rsidRPr="00C35F11" w:rsidP="00C35F11">
      <w:pPr>
        <w:pStyle w:val="Heading1"/>
      </w:pPr>
      <w:bookmarkStart w:id="9" w:name="O_1215359"/>
      <w:bookmarkEnd w:id="9"/>
      <w:r w:rsidRPr="00C35F11">
        <w:t>Modification History</w:t>
      </w:r>
    </w:p>
    <w:p w:rsidR="00000000" w:rsidRPr="00C35F11" w:rsidP="003C754D">
      <w:pPr>
        <w:pStyle w:val="BodyText"/>
      </w:pPr>
      <w:r w:rsidRPr="00C35F11">
        <w:t>Supersedes and is equivalent to PSPGEN076 Use public sector financial processes.</w:t>
      </w:r>
    </w:p>
    <w:p w:rsidR="00000000" w:rsidRPr="00C35F11" w:rsidP="00C35F11">
      <w:pPr>
        <w:pStyle w:val="Heading1"/>
      </w:pPr>
      <w:bookmarkStart w:id="10" w:name="O_1215360"/>
      <w:bookmarkEnd w:id="10"/>
      <w:r w:rsidRPr="00C35F11">
        <w:t>Performance Evidence</w:t>
      </w:r>
    </w:p>
    <w:p w:rsidR="00000000" w:rsidRPr="00C35F11" w:rsidP="003C754D">
      <w:pPr>
        <w:pStyle w:val="BodyText"/>
      </w:pPr>
      <w:r w:rsidRPr="00C35F11">
        <w:t>Evidence of the ability to complete tasks outlined in elements and performanc</w:t>
      </w:r>
      <w:r w:rsidRPr="00C35F11">
        <w:t>e criteria of this unit in the context of the job role, and on at least one occasion:</w:t>
      </w:r>
    </w:p>
    <w:p w:rsidR="00000000" w:rsidRPr="00C35F11" w:rsidP="00C35F11">
      <w:pPr>
        <w:pStyle w:val="ListBullet"/>
      </w:pPr>
      <w:r w:rsidRPr="00C35F11">
        <w:t>access information and legislation electronically or in hard copy and apply to work practices</w:t>
      </w:r>
    </w:p>
    <w:p w:rsidR="00000000" w:rsidRPr="00C35F11" w:rsidP="00C35F11">
      <w:pPr>
        <w:pStyle w:val="ListBullet"/>
      </w:pPr>
      <w:r w:rsidRPr="00C35F11">
        <w:t>enter data and prepare accurate reports in required formats</w:t>
      </w:r>
    </w:p>
    <w:p w:rsidR="00000000" w:rsidRPr="00C35F11" w:rsidP="00C35F11">
      <w:pPr>
        <w:pStyle w:val="ListBullet"/>
      </w:pPr>
      <w:r w:rsidRPr="00C35F11">
        <w:t>apply delegations.</w:t>
      </w:r>
    </w:p>
    <w:p w:rsidR="00000000" w:rsidRPr="00C35F11" w:rsidP="00C35F11">
      <w:pPr>
        <w:pStyle w:val="AllowPageBreak"/>
      </w:pPr>
    </w:p>
    <w:p w:rsidR="00000000" w:rsidRPr="00C35F11" w:rsidP="00C35F11">
      <w:pPr>
        <w:pStyle w:val="Heading1"/>
      </w:pPr>
      <w:bookmarkStart w:id="11" w:name="O_1215361"/>
      <w:bookmarkEnd w:id="11"/>
      <w:r w:rsidRPr="00C35F11">
        <w:t>Knowledge Evidence</w:t>
      </w:r>
    </w:p>
    <w:p w:rsidR="00000000" w:rsidRPr="00C35F11" w:rsidP="003C754D">
      <w:pPr>
        <w:pStyle w:val="BodyText"/>
      </w:pPr>
      <w:r w:rsidRPr="00C35F11">
        <w:t>Demonstrated knowledge required to complete the tasks outlined in elements and performance criteria of this unit:</w:t>
      </w:r>
    </w:p>
    <w:p w:rsidR="00000000" w:rsidRPr="00C35F11" w:rsidP="00C35F11">
      <w:pPr>
        <w:pStyle w:val="ListBullet"/>
      </w:pPr>
      <w:r w:rsidRPr="00C35F11">
        <w:t>legislation, policies and processes relating to public sector finance</w:t>
      </w:r>
    </w:p>
    <w:p w:rsidR="00000000" w:rsidRPr="00C35F11" w:rsidP="00C35F11">
      <w:pPr>
        <w:pStyle w:val="ListBullet"/>
      </w:pPr>
      <w:r w:rsidRPr="00C35F11">
        <w:t>basic structure of the public sector financial management compliance framework and its elements</w:t>
      </w:r>
    </w:p>
    <w:p w:rsidR="00000000" w:rsidRPr="00C35F11" w:rsidP="00C35F11">
      <w:pPr>
        <w:pStyle w:val="ListBullet"/>
      </w:pPr>
      <w:r w:rsidRPr="00C35F11">
        <w:t>documents that make up the financial framework</w:t>
      </w:r>
    </w:p>
    <w:p w:rsidR="00000000" w:rsidRPr="00C35F11" w:rsidP="00C35F11">
      <w:pPr>
        <w:pStyle w:val="ListBullet"/>
      </w:pPr>
      <w:r w:rsidRPr="00C35F11">
        <w:t>public sector delegations related to the work function</w:t>
      </w:r>
    </w:p>
    <w:p w:rsidR="00000000" w:rsidRPr="00C35F11" w:rsidP="00C35F11">
      <w:pPr>
        <w:pStyle w:val="ListBullet"/>
      </w:pPr>
      <w:r w:rsidRPr="00C35F11">
        <w:t>internal controls and separation of duties</w:t>
      </w:r>
    </w:p>
    <w:p w:rsidR="00000000" w:rsidRPr="00C35F11" w:rsidP="00C35F11">
      <w:pPr>
        <w:pStyle w:val="ListBullet"/>
      </w:pPr>
      <w:r w:rsidRPr="00C35F11">
        <w:t>corporate gover</w:t>
      </w:r>
      <w:r w:rsidRPr="00C35F11">
        <w:t>nance requirements and the relationship of the financial management compliance framework to organisational structures</w:t>
      </w:r>
    </w:p>
    <w:p w:rsidR="00000000" w:rsidRPr="00C35F11" w:rsidP="00C35F11">
      <w:pPr>
        <w:pStyle w:val="ListBullet"/>
      </w:pPr>
      <w:r w:rsidRPr="00C35F11">
        <w:t>ethics and codes of conduct</w:t>
      </w:r>
    </w:p>
    <w:p w:rsidR="00000000" w:rsidRPr="00C35F11" w:rsidP="00C35F11">
      <w:pPr>
        <w:pStyle w:val="ListBullet"/>
      </w:pPr>
      <w:r w:rsidRPr="00C35F11">
        <w:t>financial application software</w:t>
      </w:r>
    </w:p>
    <w:p w:rsidR="00000000" w:rsidRPr="00C35F11" w:rsidP="00C35F11">
      <w:pPr>
        <w:pStyle w:val="ListBullet"/>
      </w:pPr>
      <w:r w:rsidRPr="00C35F11">
        <w:t>basic accounting principles related to the work function.</w:t>
      </w:r>
    </w:p>
    <w:p w:rsidR="00000000" w:rsidRPr="00C35F11" w:rsidP="00C35F11">
      <w:pPr>
        <w:pStyle w:val="AllowPageBreak"/>
      </w:pPr>
    </w:p>
    <w:p w:rsidR="00000000" w:rsidRPr="00C35F11" w:rsidP="00C35F11">
      <w:pPr>
        <w:pStyle w:val="Heading1"/>
      </w:pPr>
      <w:bookmarkStart w:id="12" w:name="O_1215362"/>
      <w:bookmarkEnd w:id="12"/>
      <w:r w:rsidRPr="00C35F11">
        <w:t>As</w:t>
      </w:r>
      <w:r w:rsidRPr="00C35F11">
        <w:t>sessment Conditions</w:t>
      </w:r>
    </w:p>
    <w:p w:rsidR="00000000" w:rsidRPr="00C35F11" w:rsidP="003C754D">
      <w:pPr>
        <w:pStyle w:val="BodyText"/>
      </w:pPr>
      <w:r w:rsidRPr="00C35F11">
        <w:t xml:space="preserve">Skills must be demonstrated in the workplace or in a simulated environment that reflects workplace conditions. </w:t>
      </w:r>
    </w:p>
    <w:p w:rsidR="00000000" w:rsidRPr="00C35F11" w:rsidP="003C754D">
      <w:pPr>
        <w:pStyle w:val="BodyText"/>
      </w:pPr>
      <w:r w:rsidRPr="00C35F11">
        <w:t>Assessment must ensure access to:</w:t>
      </w:r>
    </w:p>
    <w:p w:rsidR="00000000" w:rsidRPr="00C35F11" w:rsidP="00C35F11">
      <w:pPr>
        <w:pStyle w:val="ListBullet"/>
      </w:pPr>
      <w:r w:rsidRPr="00C35F11">
        <w:t>legislation, policies and processes relating to public sector finance</w:t>
      </w:r>
    </w:p>
    <w:p w:rsidR="00000000" w:rsidRPr="00C35F11" w:rsidP="00C35F11">
      <w:pPr>
        <w:pStyle w:val="ListBullet"/>
      </w:pPr>
      <w:r w:rsidRPr="00C35F11">
        <w:t>public sector delegations related to the work function</w:t>
      </w:r>
    </w:p>
    <w:p w:rsidR="00000000" w:rsidRPr="00C35F11" w:rsidP="00C35F11">
      <w:pPr>
        <w:pStyle w:val="ListBullet"/>
      </w:pPr>
      <w:r w:rsidRPr="00C35F11">
        <w:t>resources and equipment of the working environment.</w:t>
      </w:r>
    </w:p>
    <w:p w:rsidR="00000000" w:rsidRPr="00C35F11" w:rsidP="003C754D">
      <w:pPr>
        <w:pStyle w:val="BodyText"/>
      </w:pPr>
      <w:r w:rsidRPr="00C35F11">
        <w:t>Assessors must satisfy the Standards for Registered Training Organisations’ requirements for assessors.</w:t>
      </w:r>
    </w:p>
    <w:p w:rsidR="00000000" w:rsidRPr="00C35F11" w:rsidP="00C35F11">
      <w:pPr>
        <w:pStyle w:val="Heading1"/>
      </w:pPr>
      <w:bookmarkStart w:id="13" w:name="O_1215365"/>
      <w:bookmarkEnd w:id="13"/>
      <w:r w:rsidRPr="00C35F11">
        <w:t>Links</w:t>
      </w:r>
    </w:p>
    <w:p w:rsidR="00000000" w:rsidRPr="00C35F11" w:rsidP="003C754D">
      <w:pPr>
        <w:pStyle w:val="BodyText"/>
      </w:pPr>
      <w:r w:rsidRPr="00C35F11">
        <w:t>Companion Volume imp</w:t>
      </w:r>
      <w:r w:rsidRPr="00C35F11">
        <w:t xml:space="preserve">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B65EE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35F11" w:rsidP="00C35F11"/>
    <w:sectPr w:rsidSect="00C35F1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F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F11" w:rsidRPr="003C754D" w:rsidP="003C75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F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54D" w:rsidP="00C35F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C754D" w:rsidP="00C35F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3C754D" w:rsidP="00C35F1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F11" w:rsidP="00C35F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C754D">
      <w:t>Approved</w:t>
    </w:r>
    <w:r w:rsidR="003C754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C754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C754D">
      <w:rPr>
        <w:noProof/>
      </w:rPr>
      <w:t>4</w:t>
    </w:r>
    <w:r>
      <w:rPr>
        <w:noProof/>
      </w:rPr>
      <w:fldChar w:fldCharType="end"/>
    </w:r>
  </w:p>
  <w:p w:rsidR="00C35F11" w:rsidP="00C35F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C754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C754D">
      <w:t>Public Skills Australia</w:t>
    </w:r>
    <w:r w:rsidR="003C754D">
      <w:fldChar w:fldCharType="end"/>
    </w:r>
  </w:p>
  <w:p w:rsidR="00C35F11" w:rsidP="00C35F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F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5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5F11" w:rsidRPr="003C754D" w:rsidP="003C75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F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54D" w:rsidRPr="002D2AF8" w:rsidP="00C35F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PSPGEN108 Use public sector financial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C754D" w:rsidP="00C35F1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F11" w:rsidRPr="002D2AF8" w:rsidP="00C35F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C754D">
      <w:t>PSPGEN108 Use public sector financial processes</w:t>
    </w:r>
    <w:r w:rsidR="003C754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C754D">
      <w:rPr>
        <w:noProof/>
      </w:rPr>
      <w:t>2 March 2025</w:t>
    </w:r>
    <w:r>
      <w:fldChar w:fldCharType="end"/>
    </w:r>
  </w:p>
  <w:p w:rsidR="00C35F11" w:rsidP="00C35F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3BE5C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9F09F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5F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5F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5F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5F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5F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5F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5F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5F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5F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5F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5F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5F11"/>
  </w:style>
  <w:style w:type="character" w:customStyle="1" w:styleId="Heading1Char">
    <w:name w:val="Heading 1 Char"/>
    <w:basedOn w:val="DefaultParagraphFont"/>
    <w:link w:val="Heading1"/>
    <w:rsid w:val="00C35F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5F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5F1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35F1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35F1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5F11"/>
    <w:rPr>
      <w:b/>
      <w:spacing w:val="0"/>
    </w:rPr>
  </w:style>
  <w:style w:type="character" w:styleId="Emphasis">
    <w:name w:val="Emphasis"/>
    <w:basedOn w:val="DefaultParagraphFont"/>
    <w:qFormat/>
    <w:rsid w:val="00C35F11"/>
    <w:rPr>
      <w:i/>
    </w:rPr>
  </w:style>
  <w:style w:type="paragraph" w:customStyle="1" w:styleId="SuperHeading">
    <w:name w:val="SuperHeading"/>
    <w:basedOn w:val="Normal"/>
    <w:rsid w:val="00C35F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5F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5F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5F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5F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5F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5F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5F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5F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5F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5F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5F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5F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5F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5F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5F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5F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5F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5F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5F1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35F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5F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5F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5F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5F1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5F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5F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5F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5F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5F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5F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5F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5F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5F1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35F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5F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5F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5F11"/>
  </w:style>
  <w:style w:type="paragraph" w:styleId="TableofFigures">
    <w:name w:val="table of figures"/>
    <w:basedOn w:val="Normal"/>
    <w:next w:val="Normal"/>
    <w:semiHidden/>
    <w:rsid w:val="00C35F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5F1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35F11"/>
    <w:rPr>
      <w:rFonts w:ascii="Wingdings" w:hAnsi="Wingdings"/>
    </w:rPr>
  </w:style>
  <w:style w:type="paragraph" w:customStyle="1" w:styleId="TableHeading">
    <w:name w:val="Table Heading"/>
    <w:basedOn w:val="HeadingBase"/>
    <w:rsid w:val="00C35F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5F11"/>
    <w:rPr>
      <w:color w:val="0033CC"/>
      <w:u w:val="none"/>
    </w:rPr>
  </w:style>
  <w:style w:type="paragraph" w:customStyle="1" w:styleId="BodyTextRight">
    <w:name w:val="Body Text Right"/>
    <w:basedOn w:val="BodyText"/>
    <w:rsid w:val="00C35F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5F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5F1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5F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5F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5F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5F11"/>
    <w:rPr>
      <w:sz w:val="32"/>
    </w:rPr>
  </w:style>
  <w:style w:type="paragraph" w:customStyle="1" w:styleId="HeadingProcedure">
    <w:name w:val="Heading Procedure"/>
    <w:basedOn w:val="HeadingBase"/>
    <w:next w:val="Normal"/>
    <w:rsid w:val="00C35F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5F11"/>
    <w:pPr>
      <w:spacing w:before="60" w:after="60"/>
    </w:pPr>
  </w:style>
  <w:style w:type="paragraph" w:styleId="ListContinue">
    <w:name w:val="List Continue"/>
    <w:basedOn w:val="List"/>
    <w:rsid w:val="00C35F11"/>
    <w:pPr>
      <w:ind w:firstLine="0"/>
    </w:pPr>
  </w:style>
  <w:style w:type="paragraph" w:customStyle="1" w:styleId="ListNote">
    <w:name w:val="List Note"/>
    <w:basedOn w:val="List"/>
    <w:rsid w:val="00C35F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5F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5F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5F11"/>
    <w:rPr>
      <w:rFonts w:ascii="Courier New" w:hAnsi="Courier New"/>
    </w:rPr>
  </w:style>
  <w:style w:type="paragraph" w:customStyle="1" w:styleId="NoteBullet">
    <w:name w:val="Note Bullet"/>
    <w:basedOn w:val="Note"/>
    <w:rsid w:val="00C35F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5F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5F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5F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5F1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35F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5F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5F11"/>
    <w:rPr>
      <w:b/>
      <w:smallCaps/>
    </w:rPr>
  </w:style>
  <w:style w:type="paragraph" w:customStyle="1" w:styleId="TableListNumber">
    <w:name w:val="Table List Number"/>
    <w:basedOn w:val="ListNumber"/>
    <w:rsid w:val="00C35F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5F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5F11"/>
    <w:pPr>
      <w:numPr>
        <w:numId w:val="8"/>
      </w:numPr>
    </w:pPr>
  </w:style>
  <w:style w:type="paragraph" w:customStyle="1" w:styleId="ListAlpha2">
    <w:name w:val="List Alpha 2"/>
    <w:basedOn w:val="List2"/>
    <w:rsid w:val="00C35F11"/>
    <w:pPr>
      <w:numPr>
        <w:numId w:val="7"/>
      </w:numPr>
    </w:pPr>
  </w:style>
  <w:style w:type="paragraph" w:styleId="List2">
    <w:name w:val="List 2"/>
    <w:basedOn w:val="BodyText"/>
    <w:rsid w:val="00C35F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5F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5F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5F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5F1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5F1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35F11"/>
    <w:pPr>
      <w:numPr>
        <w:numId w:val="3"/>
      </w:numPr>
    </w:pPr>
  </w:style>
  <w:style w:type="paragraph" w:styleId="ListContinue2">
    <w:name w:val="List Continue 2"/>
    <w:basedOn w:val="List2"/>
    <w:rsid w:val="00C35F11"/>
    <w:pPr>
      <w:ind w:firstLine="0"/>
    </w:pPr>
  </w:style>
  <w:style w:type="paragraph" w:styleId="ListContinue3">
    <w:name w:val="List Continue 3"/>
    <w:basedOn w:val="List3"/>
    <w:rsid w:val="00C35F11"/>
    <w:pPr>
      <w:ind w:left="1021" w:firstLine="0"/>
    </w:pPr>
  </w:style>
  <w:style w:type="paragraph" w:styleId="ListContinue4">
    <w:name w:val="List Continue 4"/>
    <w:basedOn w:val="List4"/>
    <w:rsid w:val="00C35F11"/>
    <w:pPr>
      <w:ind w:firstLine="0"/>
    </w:pPr>
  </w:style>
  <w:style w:type="paragraph" w:styleId="ListContinue5">
    <w:name w:val="List Continue 5"/>
    <w:basedOn w:val="List5"/>
    <w:rsid w:val="00C35F11"/>
    <w:pPr>
      <w:ind w:firstLine="0"/>
    </w:pPr>
  </w:style>
  <w:style w:type="paragraph" w:styleId="ListNumber3">
    <w:name w:val="List Number 3"/>
    <w:basedOn w:val="List3"/>
    <w:rsid w:val="00C35F11"/>
    <w:pPr>
      <w:numPr>
        <w:numId w:val="4"/>
      </w:numPr>
    </w:pPr>
  </w:style>
  <w:style w:type="paragraph" w:styleId="ListNumber4">
    <w:name w:val="List Number 4"/>
    <w:basedOn w:val="List4"/>
    <w:rsid w:val="00C35F11"/>
    <w:pPr>
      <w:numPr>
        <w:numId w:val="5"/>
      </w:numPr>
    </w:pPr>
  </w:style>
  <w:style w:type="paragraph" w:styleId="ListNumber5">
    <w:name w:val="List Number 5"/>
    <w:basedOn w:val="List5"/>
    <w:rsid w:val="00C35F11"/>
    <w:pPr>
      <w:numPr>
        <w:numId w:val="6"/>
      </w:numPr>
    </w:pPr>
  </w:style>
  <w:style w:type="paragraph" w:styleId="BlockText">
    <w:name w:val="Block Text"/>
    <w:basedOn w:val="Normal"/>
    <w:rsid w:val="00C35F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5F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5F11"/>
    <w:rPr>
      <w:sz w:val="16"/>
      <w:vertAlign w:val="superscript"/>
    </w:rPr>
  </w:style>
  <w:style w:type="character" w:customStyle="1" w:styleId="Symbols">
    <w:name w:val="Symbols"/>
    <w:basedOn w:val="DefaultParagraphFont"/>
    <w:rsid w:val="00C35F11"/>
    <w:rPr>
      <w:rFonts w:ascii="Symbol" w:hAnsi="Symbol"/>
    </w:rPr>
  </w:style>
  <w:style w:type="character" w:customStyle="1" w:styleId="MenuOptions">
    <w:name w:val="Menu Options"/>
    <w:basedOn w:val="DefaultParagraphFont"/>
    <w:rsid w:val="00C35F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5F11"/>
    <w:rPr>
      <w:b/>
    </w:rPr>
  </w:style>
  <w:style w:type="character" w:customStyle="1" w:styleId="Underlined">
    <w:name w:val="Underlined"/>
    <w:basedOn w:val="DefaultParagraphFont"/>
    <w:rsid w:val="00C35F11"/>
    <w:rPr>
      <w:u w:val="single"/>
    </w:rPr>
  </w:style>
  <w:style w:type="paragraph" w:customStyle="1" w:styleId="TableBodyTextRight">
    <w:name w:val="Table Body Text Right"/>
    <w:basedOn w:val="TableBodyText"/>
    <w:rsid w:val="00C35F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5F11"/>
    <w:rPr>
      <w:sz w:val="18"/>
    </w:rPr>
  </w:style>
  <w:style w:type="paragraph" w:customStyle="1" w:styleId="BodySmallRight">
    <w:name w:val="Body Small Right"/>
    <w:basedOn w:val="BodyTextRight"/>
    <w:rsid w:val="00C35F11"/>
    <w:rPr>
      <w:sz w:val="18"/>
      <w:szCs w:val="18"/>
    </w:rPr>
  </w:style>
  <w:style w:type="paragraph" w:customStyle="1" w:styleId="MarginEdition">
    <w:name w:val="Margin Edition"/>
    <w:basedOn w:val="MarginNote"/>
    <w:rsid w:val="00C35F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5F11"/>
    <w:rPr>
      <w:sz w:val="2"/>
      <w:szCs w:val="2"/>
    </w:rPr>
  </w:style>
  <w:style w:type="character" w:customStyle="1" w:styleId="Small">
    <w:name w:val="Small"/>
    <w:basedOn w:val="DefaultParagraphFont"/>
    <w:rsid w:val="00C35F11"/>
    <w:rPr>
      <w:sz w:val="16"/>
    </w:rPr>
  </w:style>
  <w:style w:type="paragraph" w:customStyle="1" w:styleId="WideTable">
    <w:name w:val="Wide Table"/>
    <w:basedOn w:val="Normal"/>
    <w:rsid w:val="00C35F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5F11"/>
  </w:style>
  <w:style w:type="paragraph" w:styleId="Quote">
    <w:name w:val="Quote"/>
    <w:basedOn w:val="Heading1"/>
    <w:link w:val="QuoteChar"/>
    <w:qFormat/>
    <w:rsid w:val="00C35F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5F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5F11"/>
    <w:pPr>
      <w:pageBreakBefore/>
    </w:pPr>
  </w:style>
  <w:style w:type="paragraph" w:customStyle="1" w:styleId="Border">
    <w:name w:val="Border"/>
    <w:basedOn w:val="Normal"/>
    <w:qFormat/>
    <w:rsid w:val="00C35F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5F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5F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5F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5F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5F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5F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5F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5F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5F11"/>
    <w:rPr>
      <w:u w:val="single"/>
    </w:rPr>
  </w:style>
  <w:style w:type="character" w:customStyle="1" w:styleId="BoldandItalics">
    <w:name w:val="Bold and Italics"/>
    <w:qFormat/>
    <w:rsid w:val="00C35F11"/>
    <w:rPr>
      <w:b/>
      <w:i/>
      <w:u w:val="none"/>
    </w:rPr>
  </w:style>
  <w:style w:type="paragraph" w:styleId="BalloonText">
    <w:name w:val="Balloon Text"/>
    <w:basedOn w:val="Normal"/>
    <w:link w:val="BalloonTextChar"/>
    <w:rsid w:val="00C35F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5F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5F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5F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5F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5F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5F11"/>
    <w:pPr>
      <w:spacing w:before="0" w:after="0"/>
    </w:pPr>
  </w:style>
  <w:style w:type="paragraph" w:customStyle="1" w:styleId="BodyTextBold">
    <w:name w:val="Body Text Bold"/>
    <w:basedOn w:val="BodyText"/>
    <w:qFormat/>
    <w:rsid w:val="00C35F11"/>
    <w:rPr>
      <w:b/>
    </w:rPr>
  </w:style>
  <w:style w:type="character" w:styleId="Hyperlink">
    <w:name w:val="Hyperlink"/>
    <w:basedOn w:val="DefaultParagraphFont"/>
    <w:uiPriority w:val="99"/>
    <w:unhideWhenUsed/>
    <w:rsid w:val="003C75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612</Words>
  <Characters>4038</Characters>
  <Application>Microsoft Office Word</Application>
  <DocSecurity>0</DocSecurity>
  <Lines>115</Lines>
  <Paragraphs>74</Paragraphs>
  <ScaleCrop>false</ScaleCrop>
  <Company>Author-it Software Corporation Ltd.</Company>
  <LinksUpToDate>false</LinksUpToDate>
  <CharactersWithSpaces>4576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PSPGEN108 Use public sector financial processes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2025-03-01T20:28:00Z</dcterms:created>
  <dcterms:modified xsi:type="dcterms:W3CDTF">2025-03-01T20:28:00Z</dcterms:modified>
</cp:coreProperties>
</file>