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646" w:rsidP="00387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PSPGEN095 Facilitate change</w:t>
      </w:r>
      <w:r>
        <w:fldChar w:fldCharType="end"/>
      </w:r>
    </w:p>
    <w:p w:rsidR="00387646" w:rsidP="00387646">
      <w:pPr>
        <w:pStyle w:val="Version"/>
        <w:sectPr w:rsidSect="00E43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93D" w:rsidP="00E4393D">
      <w:pPr>
        <w:pStyle w:val="SuperHeading"/>
      </w:pPr>
      <w:r w:rsidRPr="00E4393D">
        <w:t>PSPGEN095 Facilitate change</w:t>
      </w:r>
    </w:p>
    <w:p w:rsidR="00000000" w:rsidRPr="00E4393D" w:rsidP="00E4393D">
      <w:pPr>
        <w:pStyle w:val="Heading1"/>
      </w:pPr>
      <w:bookmarkStart w:id="1" w:name="O_1215024"/>
      <w:bookmarkEnd w:id="1"/>
      <w:r w:rsidRPr="00E4393D">
        <w:t>Modification History</w:t>
      </w:r>
    </w:p>
    <w:p w:rsidR="00000000" w:rsidRPr="00E4393D" w:rsidP="00387646">
      <w:pPr>
        <w:pStyle w:val="BodyText"/>
      </w:pPr>
      <w:r w:rsidRPr="00E4393D">
        <w:t>Supersedes and is equivalent to PSPGEN056 Facilitate change.</w:t>
      </w:r>
    </w:p>
    <w:p w:rsidR="00000000" w:rsidRPr="00E4393D" w:rsidP="00E4393D">
      <w:pPr>
        <w:pStyle w:val="Heading1"/>
      </w:pPr>
      <w:bookmarkStart w:id="2" w:name="O_1215025"/>
      <w:bookmarkEnd w:id="2"/>
      <w:r w:rsidRPr="00E4393D">
        <w:t>Application</w:t>
      </w:r>
    </w:p>
    <w:p w:rsidR="00000000" w:rsidRPr="00E4393D" w:rsidP="00387646">
      <w:pPr>
        <w:pStyle w:val="BodyText"/>
      </w:pPr>
      <w:r w:rsidRPr="00E4393D">
        <w:t xml:space="preserve">This unit describes the performance outcomes, skills and knowledge required to facilitate workplace change in public sector environments where </w:t>
      </w:r>
      <w:r w:rsidRPr="00E4393D">
        <w:t xml:space="preserve">role ambiguity and uncertainty often accompany the change process. It includes structural and functional changes. </w:t>
      </w:r>
    </w:p>
    <w:p w:rsidR="00000000" w:rsidRPr="00E4393D" w:rsidP="00387646">
      <w:pPr>
        <w:pStyle w:val="BodyText"/>
      </w:pPr>
      <w:r w:rsidRPr="00E4393D">
        <w:t>This unit applies to those working in generalist and specialist roles within the public sector. Those undertaking this unit work independentl</w:t>
      </w:r>
      <w:r w:rsidRPr="00E4393D">
        <w:t>y, performing complex tasks in a range of familiar and unfamiliar contexts.</w:t>
      </w:r>
    </w:p>
    <w:p w:rsidR="00000000" w:rsidRPr="00E4393D" w:rsidP="00387646">
      <w:pPr>
        <w:pStyle w:val="BodyText"/>
      </w:pPr>
      <w:r w:rsidRPr="00E4393D">
        <w:t>The skills in this unit must be applied in accordance with Commonwealth and State or Territory legislation, Australian standards and industry codes of practice.</w:t>
      </w:r>
    </w:p>
    <w:p w:rsidR="00000000" w:rsidRPr="00E4393D" w:rsidP="00387646">
      <w:pPr>
        <w:pStyle w:val="BodyText"/>
      </w:pPr>
      <w:r w:rsidRPr="00E4393D">
        <w:t>No occupational lic</w:t>
      </w:r>
      <w:r w:rsidRPr="00E4393D">
        <w:t>ensing, certification or specific legislative requirements apply to this unit at the time of publication.</w:t>
      </w:r>
    </w:p>
    <w:p w:rsidR="00000000" w:rsidRPr="00E4393D" w:rsidP="00E4393D">
      <w:pPr>
        <w:pStyle w:val="Heading1"/>
      </w:pPr>
      <w:bookmarkStart w:id="3" w:name="O_1215026"/>
      <w:bookmarkEnd w:id="3"/>
      <w:r w:rsidRPr="00E4393D">
        <w:t>Pre-requisite Unit</w:t>
      </w:r>
    </w:p>
    <w:p w:rsidR="00000000" w:rsidRPr="00E4393D" w:rsidP="00387646">
      <w:pPr>
        <w:pStyle w:val="BodyText"/>
      </w:pPr>
      <w:r w:rsidRPr="00E4393D">
        <w:t xml:space="preserve">Nil </w:t>
      </w:r>
    </w:p>
    <w:p w:rsidR="00000000" w:rsidRPr="00E4393D" w:rsidP="00E4393D">
      <w:pPr>
        <w:pStyle w:val="Heading1"/>
      </w:pPr>
      <w:bookmarkStart w:id="4" w:name="O_1215027"/>
      <w:bookmarkEnd w:id="4"/>
      <w:r w:rsidRPr="00E4393D">
        <w:t>Competency Field</w:t>
      </w:r>
    </w:p>
    <w:p w:rsidR="00000000" w:rsidRPr="00E4393D" w:rsidP="00387646">
      <w:pPr>
        <w:pStyle w:val="BodyText"/>
      </w:pPr>
      <w:r w:rsidRPr="00E4393D">
        <w:t>General</w:t>
      </w:r>
    </w:p>
    <w:p w:rsidR="00000000" w:rsidRPr="00E4393D" w:rsidP="00E4393D">
      <w:pPr>
        <w:pStyle w:val="Heading1"/>
      </w:pPr>
      <w:bookmarkStart w:id="5" w:name="O_1215029"/>
      <w:bookmarkEnd w:id="5"/>
      <w:r w:rsidRPr="00E439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3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D" w:rsidP="00E4393D">
            <w:pPr>
              <w:pStyle w:val="BodyText"/>
            </w:pPr>
            <w:r w:rsidRPr="00E439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D">
            <w:pPr>
              <w:pStyle w:val="BodyText"/>
              <w:rPr>
                <w:lang w:val="en-NZ"/>
              </w:rPr>
            </w:pPr>
            <w:r w:rsidRPr="00E4393D">
              <w:rPr>
                <w:rStyle w:val="SpecialBold"/>
              </w:rPr>
              <w:t>P</w:t>
            </w:r>
            <w:r w:rsidRPr="00E4393D">
              <w:rPr>
                <w:rStyle w:val="SpecialBold"/>
              </w:rPr>
              <w:t>ERFORMANCE</w:t>
            </w:r>
            <w:r w:rsidRPr="00E4393D">
              <w:t xml:space="preserve"> </w:t>
            </w:r>
            <w:r w:rsidRPr="00E4393D">
              <w:rPr>
                <w:rStyle w:val="SpecialBold"/>
              </w:rPr>
              <w:t>CRITERIA</w:t>
            </w:r>
          </w:p>
        </w:tc>
      </w:tr>
      <w:tr w:rsidTr="00E43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D" w:rsidP="00E4393D">
            <w:pPr>
              <w:pStyle w:val="BodyText"/>
            </w:pPr>
            <w:r w:rsidRPr="00E439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D">
            <w:pPr>
              <w:pStyle w:val="BodyText"/>
              <w:rPr>
                <w:lang w:val="en-NZ"/>
              </w:rPr>
            </w:pPr>
            <w:r w:rsidRPr="00E439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D">
            <w:pPr>
              <w:pStyle w:val="List"/>
              <w:rPr>
                <w:lang w:val="en-NZ"/>
              </w:rPr>
            </w:pPr>
            <w:r w:rsidRPr="00E4393D">
              <w:t>1.  Plan for the introduction of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D" w:rsidP="00E4393D">
            <w:pPr>
              <w:pStyle w:val="List"/>
            </w:pPr>
            <w:r w:rsidRPr="00E4393D">
              <w:t>1.1. Research for the introduction of change to consider the broader context of the organisation and emerging and future trends in the public sector.</w:t>
            </w:r>
          </w:p>
          <w:p w:rsidR="00000000" w:rsidRPr="00E4393D" w:rsidP="00E4393D">
            <w:pPr>
              <w:pStyle w:val="List"/>
            </w:pPr>
            <w:r w:rsidRPr="00E4393D">
              <w:t>1.2. Develop own knowledge and understanding through consultation.</w:t>
            </w:r>
          </w:p>
          <w:p w:rsidR="00000000" w:rsidRPr="00E4393D" w:rsidP="00E4393D">
            <w:pPr>
              <w:pStyle w:val="List"/>
            </w:pPr>
            <w:r w:rsidRPr="00E4393D">
              <w:t>1.3. Recognise the interconnectedness o</w:t>
            </w:r>
            <w:r w:rsidRPr="00E4393D">
              <w:t>f people, systems and structures and consider during planning for change.</w:t>
            </w:r>
          </w:p>
          <w:p w:rsidR="00000000" w:rsidRPr="00E4393D" w:rsidP="00E4393D">
            <w:pPr>
              <w:pStyle w:val="List"/>
            </w:pPr>
            <w:r w:rsidRPr="00E4393D">
              <w:t>1.4. Make plans in consultation with stakeholders.</w:t>
            </w:r>
          </w:p>
          <w:p w:rsidR="00000000" w:rsidRPr="00E4393D" w:rsidP="00E4393D">
            <w:pPr>
              <w:pStyle w:val="List"/>
            </w:pPr>
            <w:r w:rsidRPr="00E4393D">
              <w:t xml:space="preserve">1.5. Communicate the organisation’s rationale for change. </w:t>
            </w:r>
          </w:p>
          <w:p w:rsidR="00000000" w:rsidP="00E4393D">
            <w:pPr>
              <w:pStyle w:val="List"/>
              <w:rPr>
                <w:lang w:val="en-NZ"/>
              </w:rPr>
            </w:pPr>
            <w:r w:rsidRPr="00E4393D">
              <w:t xml:space="preserve">1.6. Anticipate and facilitate information needs of all stakeholders as </w:t>
            </w:r>
            <w:r w:rsidRPr="00E4393D">
              <w:t>part of change management.</w:t>
            </w:r>
          </w:p>
        </w:tc>
      </w:tr>
      <w:tr w:rsidTr="00E43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D">
            <w:pPr>
              <w:pStyle w:val="List"/>
              <w:rPr>
                <w:lang w:val="en-NZ"/>
              </w:rPr>
            </w:pPr>
            <w:r w:rsidRPr="00E4393D">
              <w:t>2.  Deal with emerging challenges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D" w:rsidP="00E4393D">
            <w:pPr>
              <w:pStyle w:val="List"/>
            </w:pPr>
            <w:r w:rsidRPr="00E4393D">
              <w:t>2.1. Develop and implement strategies to engage stakeholders in the change process.</w:t>
            </w:r>
          </w:p>
          <w:p w:rsidR="00000000" w:rsidRPr="00E4393D" w:rsidP="00E4393D">
            <w:pPr>
              <w:pStyle w:val="List"/>
            </w:pPr>
            <w:r w:rsidRPr="00E4393D">
              <w:t>2.2. Inform internal and external clients about the change process, possible inconveniences</w:t>
            </w:r>
            <w:r w:rsidRPr="00E4393D">
              <w:t xml:space="preserve"> and the benefits intended from the change.</w:t>
            </w:r>
          </w:p>
          <w:p w:rsidR="00000000" w:rsidRPr="00E4393D" w:rsidP="00E4393D">
            <w:pPr>
              <w:pStyle w:val="List"/>
            </w:pPr>
            <w:r w:rsidRPr="00E4393D">
              <w:t xml:space="preserve">2.3. Identify, monitor and address risk factors affecting change in accordance with the organisational risk management plan. </w:t>
            </w:r>
          </w:p>
          <w:p w:rsidR="00000000" w:rsidRPr="00E4393D" w:rsidP="00E4393D">
            <w:pPr>
              <w:pStyle w:val="List"/>
            </w:pPr>
            <w:r w:rsidRPr="00E4393D">
              <w:t>2.4. Interpret individual responses to change and provide support mechanisms to addres</w:t>
            </w:r>
            <w:r w:rsidRPr="00E4393D">
              <w:t>s specific needs.</w:t>
            </w:r>
          </w:p>
          <w:p w:rsidR="00000000" w:rsidP="00E4393D">
            <w:pPr>
              <w:pStyle w:val="List"/>
              <w:rPr>
                <w:lang w:val="en-NZ"/>
              </w:rPr>
            </w:pPr>
            <w:r w:rsidRPr="00E4393D">
              <w:t>2.5. Identify and share learning from the implementation of change.</w:t>
            </w:r>
          </w:p>
        </w:tc>
      </w:tr>
      <w:tr w:rsidTr="00E43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93D">
            <w:pPr>
              <w:pStyle w:val="List"/>
              <w:rPr>
                <w:lang w:val="en-NZ"/>
              </w:rPr>
            </w:pPr>
            <w:r w:rsidRPr="00E4393D">
              <w:t>3.  Handle ambiguity in the change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93D" w:rsidP="00E4393D">
            <w:pPr>
              <w:pStyle w:val="List"/>
            </w:pPr>
            <w:r w:rsidRPr="00E4393D">
              <w:t>3.1. Identify ambiguity in the change process and communicate the need to work w</w:t>
            </w:r>
            <w:r w:rsidRPr="00E4393D">
              <w:t>ith issues that cannot be resolved immediately to others as part of any change process.</w:t>
            </w:r>
          </w:p>
          <w:p w:rsidR="00000000" w:rsidRPr="00E4393D" w:rsidP="00E4393D">
            <w:pPr>
              <w:pStyle w:val="List"/>
            </w:pPr>
            <w:r w:rsidRPr="00E4393D">
              <w:t>3.2. Develop and implement strategies to assist others to cope with apparent ambiguities.</w:t>
            </w:r>
          </w:p>
          <w:p w:rsidR="00000000" w:rsidRPr="00E4393D" w:rsidP="00E4393D">
            <w:pPr>
              <w:pStyle w:val="List"/>
            </w:pPr>
            <w:r w:rsidRPr="00E4393D">
              <w:t>3.3. Identify, evaluate and negotiate recommendations for improving techniques</w:t>
            </w:r>
            <w:r w:rsidRPr="00E4393D">
              <w:t xml:space="preserve"> to manage change.</w:t>
            </w:r>
          </w:p>
        </w:tc>
      </w:tr>
    </w:tbl>
    <w:p w:rsidR="00387646" w:rsidP="00E4393D">
      <w:pPr>
        <w:pStyle w:val="BodyText"/>
      </w:pPr>
    </w:p>
    <w:p w:rsidR="00387646" w:rsidP="00E4393D">
      <w:pPr>
        <w:pStyle w:val="BodyText"/>
      </w:pPr>
    </w:p>
    <w:p w:rsidR="00000000" w:rsidRPr="00E4393D" w:rsidP="00E4393D">
      <w:pPr>
        <w:pStyle w:val="Heading1"/>
      </w:pPr>
      <w:bookmarkStart w:id="6" w:name="O_1215030"/>
      <w:bookmarkEnd w:id="6"/>
      <w:r w:rsidRPr="00E4393D">
        <w:t>Foundation Skills</w:t>
      </w:r>
    </w:p>
    <w:p w:rsidR="00000000" w:rsidRPr="00E4393D" w:rsidP="00387646">
      <w:pPr>
        <w:pStyle w:val="BodyText"/>
      </w:pPr>
      <w:r w:rsidRPr="00E4393D">
        <w:t>Foundation skills essential to performance are explicit in the performance criteria of this unit of competency.</w:t>
      </w:r>
    </w:p>
    <w:p w:rsidR="00000000" w:rsidRPr="00E4393D" w:rsidP="00E4393D">
      <w:pPr>
        <w:pStyle w:val="Heading1"/>
      </w:pPr>
      <w:bookmarkStart w:id="7" w:name="O_1215032"/>
      <w:bookmarkEnd w:id="7"/>
      <w:r w:rsidRPr="00E4393D">
        <w:t>Unit Mapping Information</w:t>
      </w:r>
    </w:p>
    <w:p w:rsidR="00000000" w:rsidRPr="00E4393D" w:rsidP="00387646">
      <w:pPr>
        <w:pStyle w:val="BodyText"/>
      </w:pPr>
      <w:r w:rsidRPr="00E4393D">
        <w:t>Supersedes and is equivalent to PSPGEN056</w:t>
      </w:r>
      <w:r w:rsidRPr="00E4393D">
        <w:t xml:space="preserve"> Facilitate change.</w:t>
      </w:r>
    </w:p>
    <w:p w:rsidR="00000000" w:rsidRPr="00E4393D" w:rsidP="00E4393D">
      <w:pPr>
        <w:pStyle w:val="Heading1"/>
      </w:pPr>
      <w:bookmarkStart w:id="8" w:name="O_1215039"/>
      <w:bookmarkEnd w:id="8"/>
      <w:r w:rsidRPr="00E4393D">
        <w:t>Links</w:t>
      </w:r>
    </w:p>
    <w:p w:rsidR="00000000" w:rsidRPr="00E4393D" w:rsidP="00387646">
      <w:pPr>
        <w:pStyle w:val="BodyText"/>
      </w:pPr>
      <w:r w:rsidRPr="00E43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21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393D" w:rsidP="00E4393D"/>
    <w:sectPr w:rsidSect="00E439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D" w:rsidRPr="00387646" w:rsidP="00387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6" w:rsidP="00E43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646" w:rsidP="00E43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7646" w:rsidP="00E43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93D" w:rsidRPr="00387646" w:rsidP="00387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6" w:rsidRPr="002D2AF8" w:rsidP="00E43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PSPGEN095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87646" w:rsidP="00E43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93D"/>
  </w:style>
  <w:style w:type="character" w:customStyle="1" w:styleId="Heading1Char">
    <w:name w:val="Heading 1 Char"/>
    <w:basedOn w:val="DefaultParagraphFont"/>
    <w:link w:val="Heading1"/>
    <w:rsid w:val="00E43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9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93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4393D"/>
    <w:rPr>
      <w:b/>
      <w:spacing w:val="0"/>
    </w:rPr>
  </w:style>
  <w:style w:type="character" w:styleId="Emphasis">
    <w:name w:val="Emphasis"/>
    <w:basedOn w:val="DefaultParagraphFont"/>
    <w:qFormat/>
    <w:rsid w:val="00E4393D"/>
    <w:rPr>
      <w:i/>
    </w:rPr>
  </w:style>
  <w:style w:type="paragraph" w:customStyle="1" w:styleId="SuperHeading">
    <w:name w:val="SuperHeading"/>
    <w:basedOn w:val="Normal"/>
    <w:rsid w:val="00E43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9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39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9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93D"/>
  </w:style>
  <w:style w:type="paragraph" w:styleId="TableofFigures">
    <w:name w:val="table of figures"/>
    <w:basedOn w:val="Normal"/>
    <w:next w:val="Normal"/>
    <w:semiHidden/>
    <w:rsid w:val="00E43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9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393D"/>
    <w:rPr>
      <w:rFonts w:ascii="Wingdings" w:hAnsi="Wingdings"/>
    </w:rPr>
  </w:style>
  <w:style w:type="paragraph" w:customStyle="1" w:styleId="TableHeading">
    <w:name w:val="Table Heading"/>
    <w:basedOn w:val="HeadingBase"/>
    <w:rsid w:val="00E43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93D"/>
    <w:rPr>
      <w:color w:val="0033CC"/>
      <w:u w:val="none"/>
    </w:rPr>
  </w:style>
  <w:style w:type="paragraph" w:customStyle="1" w:styleId="BodyTextRight">
    <w:name w:val="Body Text Right"/>
    <w:basedOn w:val="BodyText"/>
    <w:rsid w:val="00E43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9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93D"/>
    <w:rPr>
      <w:sz w:val="32"/>
    </w:rPr>
  </w:style>
  <w:style w:type="paragraph" w:customStyle="1" w:styleId="HeadingProcedure">
    <w:name w:val="Heading Procedure"/>
    <w:basedOn w:val="HeadingBase"/>
    <w:next w:val="Normal"/>
    <w:rsid w:val="00E43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93D"/>
    <w:pPr>
      <w:spacing w:before="60" w:after="60"/>
    </w:pPr>
  </w:style>
  <w:style w:type="paragraph" w:styleId="ListContinue">
    <w:name w:val="List Continue"/>
    <w:basedOn w:val="List"/>
    <w:rsid w:val="00E4393D"/>
    <w:pPr>
      <w:ind w:firstLine="0"/>
    </w:pPr>
  </w:style>
  <w:style w:type="paragraph" w:customStyle="1" w:styleId="ListNote">
    <w:name w:val="List Note"/>
    <w:basedOn w:val="List"/>
    <w:rsid w:val="00E43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93D"/>
    <w:rPr>
      <w:rFonts w:ascii="Courier New" w:hAnsi="Courier New"/>
    </w:rPr>
  </w:style>
  <w:style w:type="paragraph" w:customStyle="1" w:styleId="NoteBullet">
    <w:name w:val="Note Bullet"/>
    <w:basedOn w:val="Note"/>
    <w:rsid w:val="00E43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9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3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93D"/>
    <w:rPr>
      <w:b/>
      <w:smallCaps/>
    </w:rPr>
  </w:style>
  <w:style w:type="paragraph" w:customStyle="1" w:styleId="TableListNumber">
    <w:name w:val="Table List Number"/>
    <w:basedOn w:val="ListNumber"/>
    <w:rsid w:val="00E43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93D"/>
    <w:pPr>
      <w:numPr>
        <w:numId w:val="7"/>
      </w:numPr>
    </w:pPr>
  </w:style>
  <w:style w:type="paragraph" w:customStyle="1" w:styleId="ListAlpha2">
    <w:name w:val="List Alpha 2"/>
    <w:basedOn w:val="List2"/>
    <w:rsid w:val="00E4393D"/>
    <w:pPr>
      <w:numPr>
        <w:numId w:val="6"/>
      </w:numPr>
    </w:pPr>
  </w:style>
  <w:style w:type="paragraph" w:styleId="List2">
    <w:name w:val="List 2"/>
    <w:basedOn w:val="BodyText"/>
    <w:rsid w:val="00E43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9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9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393D"/>
    <w:pPr>
      <w:numPr>
        <w:numId w:val="2"/>
      </w:numPr>
    </w:pPr>
  </w:style>
  <w:style w:type="paragraph" w:styleId="ListContinue2">
    <w:name w:val="List Continue 2"/>
    <w:basedOn w:val="List2"/>
    <w:rsid w:val="00E4393D"/>
    <w:pPr>
      <w:ind w:firstLine="0"/>
    </w:pPr>
  </w:style>
  <w:style w:type="paragraph" w:styleId="ListContinue3">
    <w:name w:val="List Continue 3"/>
    <w:basedOn w:val="List3"/>
    <w:rsid w:val="00E4393D"/>
    <w:pPr>
      <w:ind w:left="1021" w:firstLine="0"/>
    </w:pPr>
  </w:style>
  <w:style w:type="paragraph" w:styleId="ListContinue4">
    <w:name w:val="List Continue 4"/>
    <w:basedOn w:val="List4"/>
    <w:rsid w:val="00E4393D"/>
    <w:pPr>
      <w:ind w:firstLine="0"/>
    </w:pPr>
  </w:style>
  <w:style w:type="paragraph" w:styleId="ListContinue5">
    <w:name w:val="List Continue 5"/>
    <w:basedOn w:val="List5"/>
    <w:rsid w:val="00E4393D"/>
    <w:pPr>
      <w:ind w:firstLine="0"/>
    </w:pPr>
  </w:style>
  <w:style w:type="paragraph" w:styleId="ListNumber3">
    <w:name w:val="List Number 3"/>
    <w:basedOn w:val="List3"/>
    <w:rsid w:val="00E4393D"/>
    <w:pPr>
      <w:numPr>
        <w:numId w:val="3"/>
      </w:numPr>
    </w:pPr>
  </w:style>
  <w:style w:type="paragraph" w:styleId="ListNumber4">
    <w:name w:val="List Number 4"/>
    <w:basedOn w:val="List4"/>
    <w:rsid w:val="00E4393D"/>
    <w:pPr>
      <w:numPr>
        <w:numId w:val="4"/>
      </w:numPr>
    </w:pPr>
  </w:style>
  <w:style w:type="paragraph" w:styleId="ListNumber5">
    <w:name w:val="List Number 5"/>
    <w:basedOn w:val="List5"/>
    <w:rsid w:val="00E4393D"/>
    <w:pPr>
      <w:numPr>
        <w:numId w:val="5"/>
      </w:numPr>
    </w:pPr>
  </w:style>
  <w:style w:type="paragraph" w:styleId="BlockText">
    <w:name w:val="Block Text"/>
    <w:basedOn w:val="Normal"/>
    <w:rsid w:val="00E43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93D"/>
    <w:rPr>
      <w:sz w:val="16"/>
      <w:vertAlign w:val="superscript"/>
    </w:rPr>
  </w:style>
  <w:style w:type="character" w:customStyle="1" w:styleId="Symbols">
    <w:name w:val="Symbols"/>
    <w:basedOn w:val="DefaultParagraphFont"/>
    <w:rsid w:val="00E4393D"/>
    <w:rPr>
      <w:rFonts w:ascii="Symbol" w:hAnsi="Symbol"/>
    </w:rPr>
  </w:style>
  <w:style w:type="character" w:customStyle="1" w:styleId="MenuOptions">
    <w:name w:val="Menu Options"/>
    <w:basedOn w:val="DefaultParagraphFont"/>
    <w:rsid w:val="00E43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93D"/>
    <w:rPr>
      <w:b/>
    </w:rPr>
  </w:style>
  <w:style w:type="character" w:customStyle="1" w:styleId="Underlined">
    <w:name w:val="Underlined"/>
    <w:basedOn w:val="DefaultParagraphFont"/>
    <w:rsid w:val="00E4393D"/>
    <w:rPr>
      <w:u w:val="single"/>
    </w:rPr>
  </w:style>
  <w:style w:type="paragraph" w:customStyle="1" w:styleId="TableBodyTextRight">
    <w:name w:val="Table Body Text Right"/>
    <w:basedOn w:val="TableBodyText"/>
    <w:rsid w:val="00E43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93D"/>
    <w:rPr>
      <w:sz w:val="18"/>
    </w:rPr>
  </w:style>
  <w:style w:type="paragraph" w:customStyle="1" w:styleId="BodySmallRight">
    <w:name w:val="Body Small Right"/>
    <w:basedOn w:val="BodyTextRight"/>
    <w:rsid w:val="00E4393D"/>
    <w:rPr>
      <w:sz w:val="18"/>
      <w:szCs w:val="18"/>
    </w:rPr>
  </w:style>
  <w:style w:type="paragraph" w:customStyle="1" w:styleId="MarginEdition">
    <w:name w:val="Margin Edition"/>
    <w:basedOn w:val="MarginNote"/>
    <w:rsid w:val="00E43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93D"/>
    <w:rPr>
      <w:sz w:val="2"/>
      <w:szCs w:val="2"/>
    </w:rPr>
  </w:style>
  <w:style w:type="character" w:customStyle="1" w:styleId="Small">
    <w:name w:val="Small"/>
    <w:basedOn w:val="DefaultParagraphFont"/>
    <w:rsid w:val="00E4393D"/>
    <w:rPr>
      <w:sz w:val="16"/>
    </w:rPr>
  </w:style>
  <w:style w:type="paragraph" w:customStyle="1" w:styleId="WideTable">
    <w:name w:val="Wide Table"/>
    <w:basedOn w:val="Normal"/>
    <w:rsid w:val="00E43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93D"/>
  </w:style>
  <w:style w:type="paragraph" w:styleId="Quote">
    <w:name w:val="Quote"/>
    <w:basedOn w:val="Heading1"/>
    <w:link w:val="QuoteChar"/>
    <w:qFormat/>
    <w:rsid w:val="00E43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93D"/>
    <w:pPr>
      <w:pageBreakBefore/>
    </w:pPr>
  </w:style>
  <w:style w:type="paragraph" w:customStyle="1" w:styleId="Border">
    <w:name w:val="Border"/>
    <w:basedOn w:val="Normal"/>
    <w:qFormat/>
    <w:rsid w:val="00E43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93D"/>
    <w:rPr>
      <w:u w:val="single"/>
    </w:rPr>
  </w:style>
  <w:style w:type="character" w:customStyle="1" w:styleId="BoldandItalics">
    <w:name w:val="Bold and Italics"/>
    <w:qFormat/>
    <w:rsid w:val="00E4393D"/>
    <w:rPr>
      <w:b/>
      <w:i/>
      <w:u w:val="none"/>
    </w:rPr>
  </w:style>
  <w:style w:type="paragraph" w:styleId="BalloonText">
    <w:name w:val="Balloon Text"/>
    <w:basedOn w:val="Normal"/>
    <w:link w:val="BalloonTextChar"/>
    <w:rsid w:val="00E43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93D"/>
    <w:pPr>
      <w:spacing w:before="0" w:after="0"/>
    </w:pPr>
  </w:style>
  <w:style w:type="paragraph" w:customStyle="1" w:styleId="BodyTextBold">
    <w:name w:val="Body Text Bold"/>
    <w:basedOn w:val="BodyText"/>
    <w:qFormat/>
    <w:rsid w:val="00E4393D"/>
    <w:rPr>
      <w:b/>
    </w:rPr>
  </w:style>
  <w:style w:type="character" w:styleId="Hyperlink">
    <w:name w:val="Hyperlink"/>
    <w:basedOn w:val="DefaultParagraphFont"/>
    <w:uiPriority w:val="99"/>
    <w:unhideWhenUsed/>
    <w:rsid w:val="00387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2825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PSPGEN095 Facilitate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