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2CB" w:rsidP="00E67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PSPGEN095 Facilitate change</w:t>
      </w:r>
      <w:r>
        <w:fldChar w:fldCharType="end"/>
      </w:r>
    </w:p>
    <w:p w:rsidR="00E672CB" w:rsidP="00E672CB">
      <w:pPr>
        <w:pStyle w:val="Version"/>
        <w:sectPr w:rsidSect="00131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E6F" w:rsidP="00131E6F">
      <w:pPr>
        <w:pStyle w:val="SuperHeading"/>
      </w:pPr>
      <w:r w:rsidRPr="00131E6F">
        <w:t>PSPGEN095 Facilitate change</w:t>
      </w:r>
    </w:p>
    <w:p w:rsidR="00000000" w:rsidRPr="00131E6F" w:rsidP="00131E6F">
      <w:pPr>
        <w:pStyle w:val="Heading1"/>
      </w:pPr>
      <w:bookmarkStart w:id="1" w:name="O_1215024"/>
      <w:bookmarkEnd w:id="1"/>
      <w:r w:rsidRPr="00131E6F">
        <w:t>Modification History</w:t>
      </w:r>
    </w:p>
    <w:p w:rsidR="00000000" w:rsidRPr="00131E6F" w:rsidP="00E672CB">
      <w:pPr>
        <w:pStyle w:val="BodyText"/>
      </w:pPr>
      <w:r w:rsidRPr="00131E6F">
        <w:t>Supersedes and is equivalent to PSPGEN056 Facilitate change.</w:t>
      </w:r>
    </w:p>
    <w:p w:rsidR="00000000" w:rsidRPr="00131E6F" w:rsidP="00131E6F">
      <w:pPr>
        <w:pStyle w:val="Heading1"/>
      </w:pPr>
      <w:bookmarkStart w:id="2" w:name="O_1215025"/>
      <w:bookmarkEnd w:id="2"/>
      <w:r w:rsidRPr="00131E6F">
        <w:t>Application</w:t>
      </w:r>
    </w:p>
    <w:p w:rsidR="00000000" w:rsidRPr="00131E6F" w:rsidP="00E672CB">
      <w:pPr>
        <w:pStyle w:val="BodyText"/>
      </w:pPr>
      <w:r w:rsidRPr="00131E6F">
        <w:t xml:space="preserve">This unit describes the performance outcomes, skills and knowledge required to facilitate workplace change in public sector environments where </w:t>
      </w:r>
      <w:r w:rsidRPr="00131E6F">
        <w:t xml:space="preserve">role ambiguity and uncertainty often accompany the change process. It includes structural and functional changes. </w:t>
      </w:r>
    </w:p>
    <w:p w:rsidR="00000000" w:rsidRPr="00131E6F" w:rsidP="00E672CB">
      <w:pPr>
        <w:pStyle w:val="BodyText"/>
      </w:pPr>
      <w:r w:rsidRPr="00131E6F">
        <w:t>This unit applies to those working in generalist and specialist roles within the public sector. Those undertaking this unit work independentl</w:t>
      </w:r>
      <w:r w:rsidRPr="00131E6F">
        <w:t>y, performing complex tasks in a range of familiar and unfamiliar contexts.</w:t>
      </w:r>
    </w:p>
    <w:p w:rsidR="00000000" w:rsidRPr="00131E6F" w:rsidP="00E672CB">
      <w:pPr>
        <w:pStyle w:val="BodyText"/>
      </w:pPr>
      <w:r w:rsidRPr="00131E6F">
        <w:t>The skills in this unit must be applied in accordance with Commonwealth and State or Territory legislation, Australian standards and industry codes of practice.</w:t>
      </w:r>
    </w:p>
    <w:p w:rsidR="00000000" w:rsidRPr="00131E6F" w:rsidP="00E672CB">
      <w:pPr>
        <w:pStyle w:val="BodyText"/>
      </w:pPr>
      <w:r w:rsidRPr="00131E6F">
        <w:t>No occupational lic</w:t>
      </w:r>
      <w:r w:rsidRPr="00131E6F">
        <w:t>ensing, certification or specific legislative requirements apply to this unit at the time of publication.</w:t>
      </w:r>
    </w:p>
    <w:p w:rsidR="00000000" w:rsidRPr="00131E6F" w:rsidP="00131E6F">
      <w:pPr>
        <w:pStyle w:val="Heading1"/>
      </w:pPr>
      <w:bookmarkStart w:id="3" w:name="O_1215026"/>
      <w:bookmarkEnd w:id="3"/>
      <w:r w:rsidRPr="00131E6F">
        <w:t>Pre-requisite Unit</w:t>
      </w:r>
    </w:p>
    <w:p w:rsidR="00000000" w:rsidRPr="00131E6F" w:rsidP="00E672CB">
      <w:pPr>
        <w:pStyle w:val="BodyText"/>
      </w:pPr>
      <w:r w:rsidRPr="00131E6F">
        <w:t xml:space="preserve">Nil </w:t>
      </w:r>
    </w:p>
    <w:p w:rsidR="00000000" w:rsidRPr="00131E6F" w:rsidP="00131E6F">
      <w:pPr>
        <w:pStyle w:val="Heading1"/>
      </w:pPr>
      <w:bookmarkStart w:id="4" w:name="O_1215027"/>
      <w:bookmarkEnd w:id="4"/>
      <w:r w:rsidRPr="00131E6F">
        <w:t>Competency Field</w:t>
      </w:r>
    </w:p>
    <w:p w:rsidR="00000000" w:rsidRPr="00131E6F" w:rsidP="00E672CB">
      <w:pPr>
        <w:pStyle w:val="BodyText"/>
      </w:pPr>
      <w:r w:rsidRPr="00131E6F">
        <w:t>General</w:t>
      </w:r>
    </w:p>
    <w:p w:rsidR="00000000" w:rsidRPr="00131E6F" w:rsidP="00131E6F">
      <w:pPr>
        <w:pStyle w:val="Heading1"/>
      </w:pPr>
      <w:bookmarkStart w:id="5" w:name="O_1215029"/>
      <w:bookmarkEnd w:id="5"/>
      <w:r w:rsidRPr="00131E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6F" w:rsidP="00131E6F">
            <w:pPr>
              <w:pStyle w:val="BodyText"/>
            </w:pPr>
            <w:r w:rsidRPr="00131E6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6F">
            <w:pPr>
              <w:pStyle w:val="BodyText"/>
              <w:rPr>
                <w:lang w:val="en-NZ"/>
              </w:rPr>
            </w:pPr>
            <w:r w:rsidRPr="00131E6F">
              <w:rPr>
                <w:rStyle w:val="SpecialBold"/>
              </w:rPr>
              <w:t>P</w:t>
            </w:r>
            <w:r w:rsidRPr="00131E6F">
              <w:rPr>
                <w:rStyle w:val="SpecialBold"/>
              </w:rPr>
              <w:t>ERFORMANCE</w:t>
            </w:r>
            <w:r w:rsidRPr="00131E6F">
              <w:t xml:space="preserve"> </w:t>
            </w:r>
            <w:r w:rsidRPr="00131E6F">
              <w:rPr>
                <w:rStyle w:val="SpecialBold"/>
              </w:rPr>
              <w:t>CRITERIA</w:t>
            </w:r>
          </w:p>
        </w:tc>
      </w:tr>
      <w:tr w:rsidTr="0013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6F" w:rsidP="00131E6F">
            <w:pPr>
              <w:pStyle w:val="BodyText"/>
            </w:pPr>
            <w:r w:rsidRPr="00131E6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6F">
            <w:pPr>
              <w:pStyle w:val="BodyText"/>
              <w:rPr>
                <w:lang w:val="en-NZ"/>
              </w:rPr>
            </w:pPr>
            <w:r w:rsidRPr="00131E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6F">
            <w:pPr>
              <w:pStyle w:val="List"/>
              <w:rPr>
                <w:lang w:val="en-NZ"/>
              </w:rPr>
            </w:pPr>
            <w:r w:rsidRPr="00131E6F">
              <w:t>1.  Plan for the introduction of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6F" w:rsidP="00131E6F">
            <w:pPr>
              <w:pStyle w:val="List"/>
            </w:pPr>
            <w:r w:rsidRPr="00131E6F">
              <w:t>1.1. Research for the introduction of change to consider the broader context of the organisation and emerging and future trends in the public sector.</w:t>
            </w:r>
          </w:p>
          <w:p w:rsidR="00000000" w:rsidRPr="00131E6F" w:rsidP="00131E6F">
            <w:pPr>
              <w:pStyle w:val="List"/>
            </w:pPr>
            <w:r w:rsidRPr="00131E6F">
              <w:t>1.2. Develop own knowledge and understanding through consultation.</w:t>
            </w:r>
          </w:p>
          <w:p w:rsidR="00000000" w:rsidRPr="00131E6F" w:rsidP="00131E6F">
            <w:pPr>
              <w:pStyle w:val="List"/>
            </w:pPr>
            <w:r w:rsidRPr="00131E6F">
              <w:t>1.3. Recognise the interconnectedness o</w:t>
            </w:r>
            <w:r w:rsidRPr="00131E6F">
              <w:t>f people, systems and structures and consider during planning for change.</w:t>
            </w:r>
          </w:p>
          <w:p w:rsidR="00000000" w:rsidRPr="00131E6F" w:rsidP="00131E6F">
            <w:pPr>
              <w:pStyle w:val="List"/>
            </w:pPr>
            <w:r w:rsidRPr="00131E6F">
              <w:t>1.4. Make plans in consultation with stakeholders.</w:t>
            </w:r>
          </w:p>
          <w:p w:rsidR="00000000" w:rsidRPr="00131E6F" w:rsidP="00131E6F">
            <w:pPr>
              <w:pStyle w:val="List"/>
            </w:pPr>
            <w:r w:rsidRPr="00131E6F">
              <w:t xml:space="preserve">1.5. Communicate the organisation’s rationale for change. </w:t>
            </w:r>
          </w:p>
          <w:p w:rsidR="00000000" w:rsidP="00131E6F">
            <w:pPr>
              <w:pStyle w:val="List"/>
              <w:rPr>
                <w:lang w:val="en-NZ"/>
              </w:rPr>
            </w:pPr>
            <w:r w:rsidRPr="00131E6F">
              <w:t xml:space="preserve">1.6. Anticipate and facilitate information needs of all stakeholders as </w:t>
            </w:r>
            <w:r w:rsidRPr="00131E6F">
              <w:t>part of change management.</w:t>
            </w:r>
          </w:p>
        </w:tc>
      </w:tr>
      <w:tr w:rsidTr="0013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6F">
            <w:pPr>
              <w:pStyle w:val="List"/>
              <w:rPr>
                <w:lang w:val="en-NZ"/>
              </w:rPr>
            </w:pPr>
            <w:r w:rsidRPr="00131E6F">
              <w:t>2.  Deal with emerging challenges and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6F" w:rsidP="00131E6F">
            <w:pPr>
              <w:pStyle w:val="List"/>
            </w:pPr>
            <w:r w:rsidRPr="00131E6F">
              <w:t>2.1. Develop and implement strategies to engage stakeholders in the change process.</w:t>
            </w:r>
          </w:p>
          <w:p w:rsidR="00000000" w:rsidRPr="00131E6F" w:rsidP="00131E6F">
            <w:pPr>
              <w:pStyle w:val="List"/>
            </w:pPr>
            <w:r w:rsidRPr="00131E6F">
              <w:t>2.2. Inform internal and external clients about the change process, possible inconveniences</w:t>
            </w:r>
            <w:r w:rsidRPr="00131E6F">
              <w:t xml:space="preserve"> and the benefits intended from the change.</w:t>
            </w:r>
          </w:p>
          <w:p w:rsidR="00000000" w:rsidRPr="00131E6F" w:rsidP="00131E6F">
            <w:pPr>
              <w:pStyle w:val="List"/>
            </w:pPr>
            <w:r w:rsidRPr="00131E6F">
              <w:t xml:space="preserve">2.3. Identify, monitor and address risk factors affecting change in accordance with the organisational risk management plan. </w:t>
            </w:r>
          </w:p>
          <w:p w:rsidR="00000000" w:rsidRPr="00131E6F" w:rsidP="00131E6F">
            <w:pPr>
              <w:pStyle w:val="List"/>
            </w:pPr>
            <w:r w:rsidRPr="00131E6F">
              <w:t>2.4. Interpret individual responses to change and provide support mechanisms to addres</w:t>
            </w:r>
            <w:r w:rsidRPr="00131E6F">
              <w:t>s specific needs.</w:t>
            </w:r>
          </w:p>
          <w:p w:rsidR="00000000" w:rsidP="00131E6F">
            <w:pPr>
              <w:pStyle w:val="List"/>
              <w:rPr>
                <w:lang w:val="en-NZ"/>
              </w:rPr>
            </w:pPr>
            <w:r w:rsidRPr="00131E6F">
              <w:t>2.5. Identify and share learning from the implementation of change.</w:t>
            </w:r>
          </w:p>
        </w:tc>
      </w:tr>
      <w:tr w:rsidTr="0013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6F">
            <w:pPr>
              <w:pStyle w:val="List"/>
              <w:rPr>
                <w:lang w:val="en-NZ"/>
              </w:rPr>
            </w:pPr>
            <w:r w:rsidRPr="00131E6F">
              <w:t>3.  Handle ambiguity in the change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6F" w:rsidP="00131E6F">
            <w:pPr>
              <w:pStyle w:val="List"/>
            </w:pPr>
            <w:r w:rsidRPr="00131E6F">
              <w:t>3.1. Ide</w:t>
            </w:r>
            <w:r w:rsidRPr="00131E6F">
              <w:t>ntify ambiguity in the change process and communicate the need to work with issues that cannot be resolved immediately to others as part of any change process.</w:t>
            </w:r>
          </w:p>
          <w:p w:rsidR="00000000" w:rsidRPr="00131E6F" w:rsidP="00131E6F">
            <w:pPr>
              <w:pStyle w:val="List"/>
            </w:pPr>
            <w:r w:rsidRPr="00131E6F">
              <w:t>3.2. Develop and implement strategies to assist others to cope with apparent ambiguities.</w:t>
            </w:r>
          </w:p>
          <w:p w:rsidR="00000000" w:rsidRPr="00131E6F" w:rsidP="00131E6F">
            <w:pPr>
              <w:pStyle w:val="List"/>
            </w:pPr>
            <w:r w:rsidRPr="00131E6F">
              <w:t>3.3. I</w:t>
            </w:r>
            <w:r w:rsidRPr="00131E6F">
              <w:t>dentify, evaluate and negotiate recommendations for improving techniques to manage change.</w:t>
            </w:r>
          </w:p>
        </w:tc>
      </w:tr>
    </w:tbl>
    <w:p w:rsidR="00E672CB" w:rsidP="00131E6F">
      <w:pPr>
        <w:pStyle w:val="BodyText"/>
      </w:pPr>
    </w:p>
    <w:p w:rsidR="00E672CB" w:rsidP="00131E6F">
      <w:pPr>
        <w:pStyle w:val="BodyText"/>
      </w:pPr>
    </w:p>
    <w:p w:rsidR="00000000" w:rsidRPr="00131E6F" w:rsidP="00131E6F">
      <w:pPr>
        <w:pStyle w:val="Heading1"/>
      </w:pPr>
      <w:bookmarkStart w:id="6" w:name="O_1215030"/>
      <w:bookmarkEnd w:id="6"/>
      <w:r w:rsidRPr="00131E6F">
        <w:t>Foundation Skills</w:t>
      </w:r>
    </w:p>
    <w:p w:rsidR="00000000" w:rsidRPr="00131E6F" w:rsidP="00E672CB">
      <w:pPr>
        <w:pStyle w:val="BodyText"/>
      </w:pPr>
      <w:r w:rsidRPr="00131E6F">
        <w:t>Foundation skills essential to performance are explicit in the performance criteria of this unit of competency.</w:t>
      </w:r>
    </w:p>
    <w:p w:rsidR="00000000" w:rsidRPr="00131E6F" w:rsidP="00131E6F">
      <w:pPr>
        <w:pStyle w:val="Heading1"/>
      </w:pPr>
      <w:bookmarkStart w:id="7" w:name="O_1215032"/>
      <w:bookmarkEnd w:id="7"/>
      <w:r w:rsidRPr="00131E6F">
        <w:t>Unit Mapping Information</w:t>
      </w:r>
    </w:p>
    <w:p w:rsidR="00000000" w:rsidRPr="00131E6F" w:rsidP="00E672CB">
      <w:pPr>
        <w:pStyle w:val="BodyText"/>
      </w:pPr>
      <w:r w:rsidRPr="00131E6F">
        <w:t>Supersedes and is equivalent to PSPGEN056 Facilitate change.</w:t>
      </w:r>
    </w:p>
    <w:p w:rsidR="00000000" w:rsidRPr="00131E6F" w:rsidP="00131E6F">
      <w:pPr>
        <w:pStyle w:val="Heading1"/>
      </w:pPr>
      <w:bookmarkStart w:id="8" w:name="O_1215039"/>
      <w:bookmarkEnd w:id="8"/>
      <w:r w:rsidRPr="00131E6F">
        <w:t>Links</w:t>
      </w:r>
    </w:p>
    <w:p w:rsidR="00000000" w:rsidRPr="00131E6F" w:rsidP="00E672CB">
      <w:pPr>
        <w:pStyle w:val="BodyText"/>
      </w:pPr>
      <w:r w:rsidRPr="00131E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5E6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31E6F" w:rsidP="00E672CB">
      <w:pPr>
        <w:pStyle w:val="BodyText"/>
        <w:sectPr w:rsidSect="00131E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E6F" w:rsidP="00131E6F">
      <w:pPr>
        <w:pStyle w:val="SuperHeading"/>
      </w:pPr>
      <w:r w:rsidRPr="00131E6F">
        <w:t>Assessment Requirements for PSPGEN095 Facilitate change</w:t>
      </w:r>
    </w:p>
    <w:p w:rsidR="00000000" w:rsidRPr="00131E6F" w:rsidP="00131E6F">
      <w:pPr>
        <w:pStyle w:val="Heading1"/>
      </w:pPr>
      <w:bookmarkStart w:id="9" w:name="O_1215034"/>
      <w:bookmarkEnd w:id="9"/>
      <w:r w:rsidRPr="00131E6F">
        <w:t>Modification History</w:t>
      </w:r>
    </w:p>
    <w:p w:rsidR="00000000" w:rsidRPr="00131E6F" w:rsidP="00E672CB">
      <w:pPr>
        <w:pStyle w:val="BodyText"/>
      </w:pPr>
      <w:r w:rsidRPr="00131E6F">
        <w:t>Supersedes and is equivalent to PSPGEN056 Facilitate change.</w:t>
      </w:r>
    </w:p>
    <w:p w:rsidR="00000000" w:rsidRPr="00131E6F" w:rsidP="00131E6F">
      <w:pPr>
        <w:pStyle w:val="Heading1"/>
      </w:pPr>
      <w:bookmarkStart w:id="10" w:name="O_1215035"/>
      <w:bookmarkEnd w:id="10"/>
      <w:r w:rsidRPr="00131E6F">
        <w:t>Performa</w:t>
      </w:r>
      <w:r w:rsidRPr="00131E6F">
        <w:t>nce Evidence</w:t>
      </w:r>
    </w:p>
    <w:p w:rsidR="00000000" w:rsidRPr="00131E6F" w:rsidP="00E672CB">
      <w:pPr>
        <w:pStyle w:val="BodyText"/>
      </w:pPr>
      <w:r w:rsidRPr="00131E6F">
        <w:t>Evidence of the ability to complete tasks outlined in elements and performance criteria of this unit in the context of the job role, and on at least two occasions:</w:t>
      </w:r>
    </w:p>
    <w:p w:rsidR="00000000" w:rsidRPr="00131E6F" w:rsidP="00131E6F">
      <w:pPr>
        <w:pStyle w:val="ListBullet"/>
      </w:pPr>
      <w:r w:rsidRPr="00131E6F">
        <w:t>communicate with a diverse range of individuals at different levels in the org</w:t>
      </w:r>
      <w:r w:rsidRPr="00131E6F">
        <w:t>anisation</w:t>
      </w:r>
    </w:p>
    <w:p w:rsidR="00000000" w:rsidRPr="00131E6F" w:rsidP="00131E6F">
      <w:pPr>
        <w:pStyle w:val="ListBullet"/>
      </w:pPr>
      <w:r w:rsidRPr="00131E6F">
        <w:t>problem solve in the context of managing ambiguity and change</w:t>
      </w:r>
    </w:p>
    <w:p w:rsidR="00000000" w:rsidRPr="00131E6F" w:rsidP="00131E6F">
      <w:pPr>
        <w:pStyle w:val="ListBullet"/>
      </w:pPr>
      <w:r w:rsidRPr="00131E6F">
        <w:t>give and receive feedback, including ‘managing upwards’</w:t>
      </w:r>
    </w:p>
    <w:p w:rsidR="00000000" w:rsidRPr="00131E6F" w:rsidP="00131E6F">
      <w:pPr>
        <w:pStyle w:val="ListBullet"/>
      </w:pPr>
      <w:r w:rsidRPr="00131E6F">
        <w:t>influence others</w:t>
      </w:r>
    </w:p>
    <w:p w:rsidR="00000000" w:rsidRPr="00131E6F" w:rsidP="00131E6F">
      <w:pPr>
        <w:pStyle w:val="ListBullet"/>
      </w:pPr>
      <w:r w:rsidRPr="00131E6F">
        <w:t>coach and mentor others in the change process</w:t>
      </w:r>
    </w:p>
    <w:p w:rsidR="00000000" w:rsidRPr="00131E6F" w:rsidP="00131E6F">
      <w:pPr>
        <w:pStyle w:val="ListBullet"/>
      </w:pPr>
      <w:r w:rsidRPr="00131E6F">
        <w:t>manage the effects of change in the workplace, including workplac</w:t>
      </w:r>
      <w:r w:rsidRPr="00131E6F">
        <w:t>e health, safety and wellbeing issues.</w:t>
      </w:r>
    </w:p>
    <w:p w:rsidR="00000000" w:rsidRPr="00131E6F" w:rsidP="00131E6F">
      <w:pPr>
        <w:pStyle w:val="AllowPageBreak"/>
      </w:pPr>
    </w:p>
    <w:p w:rsidR="00000000" w:rsidRPr="00131E6F" w:rsidP="00131E6F">
      <w:pPr>
        <w:pStyle w:val="Heading1"/>
      </w:pPr>
      <w:bookmarkStart w:id="11" w:name="O_1215036"/>
      <w:bookmarkEnd w:id="11"/>
      <w:r w:rsidRPr="00131E6F">
        <w:t>Knowledge Evidence</w:t>
      </w:r>
    </w:p>
    <w:p w:rsidR="00000000" w:rsidRPr="00131E6F" w:rsidP="00E672CB">
      <w:pPr>
        <w:pStyle w:val="BodyText"/>
      </w:pPr>
      <w:r w:rsidRPr="00131E6F">
        <w:t>Demonstrated knowledge required to complete the tasks outlined in elements and performance criteria of this unit:</w:t>
      </w:r>
    </w:p>
    <w:p w:rsidR="00000000" w:rsidRPr="00131E6F" w:rsidP="00131E6F">
      <w:pPr>
        <w:pStyle w:val="ListBullet"/>
      </w:pPr>
      <w:r w:rsidRPr="00131E6F">
        <w:t>legislation, policies and procedures relating to public sector workplaces</w:t>
      </w:r>
    </w:p>
    <w:p w:rsidR="00000000" w:rsidRPr="00131E6F" w:rsidP="00131E6F">
      <w:pPr>
        <w:pStyle w:val="ListBullet"/>
      </w:pPr>
      <w:r w:rsidRPr="00131E6F">
        <w:t>change management models and tools and the application of these in the workplace</w:t>
      </w:r>
    </w:p>
    <w:p w:rsidR="00000000" w:rsidRPr="00131E6F" w:rsidP="00131E6F">
      <w:pPr>
        <w:pStyle w:val="ListBullet"/>
      </w:pPr>
      <w:r w:rsidRPr="00131E6F">
        <w:t>organisational structure and culture</w:t>
      </w:r>
    </w:p>
    <w:p w:rsidR="00000000" w:rsidRPr="00131E6F" w:rsidP="00131E6F">
      <w:pPr>
        <w:pStyle w:val="ListBullet"/>
      </w:pPr>
      <w:r w:rsidRPr="00131E6F">
        <w:t>group dynamics</w:t>
      </w:r>
    </w:p>
    <w:p w:rsidR="00000000" w:rsidRPr="00131E6F" w:rsidP="00131E6F">
      <w:pPr>
        <w:pStyle w:val="ListBullet"/>
      </w:pPr>
      <w:r w:rsidRPr="00131E6F">
        <w:t>emotional intelligence</w:t>
      </w:r>
    </w:p>
    <w:p w:rsidR="00000000" w:rsidRPr="00131E6F" w:rsidP="00131E6F">
      <w:pPr>
        <w:pStyle w:val="ListBullet"/>
      </w:pPr>
      <w:r w:rsidRPr="00131E6F">
        <w:t>application of support mec</w:t>
      </w:r>
      <w:r w:rsidRPr="00131E6F">
        <w:t xml:space="preserve">hanisms to address specific needs of individuals in responding to change, including: </w:t>
      </w:r>
    </w:p>
    <w:p w:rsidR="00000000" w:rsidRPr="00131E6F" w:rsidP="00131E6F">
      <w:pPr>
        <w:pStyle w:val="ListBullet2"/>
      </w:pPr>
      <w:r w:rsidRPr="00131E6F">
        <w:t>explaining</w:t>
      </w:r>
    </w:p>
    <w:p w:rsidR="00000000" w:rsidRPr="00131E6F" w:rsidP="00131E6F">
      <w:pPr>
        <w:pStyle w:val="ListBullet2"/>
      </w:pPr>
      <w:r w:rsidRPr="00131E6F">
        <w:t>clarifying</w:t>
      </w:r>
    </w:p>
    <w:p w:rsidR="00000000" w:rsidRPr="00131E6F" w:rsidP="00131E6F">
      <w:pPr>
        <w:pStyle w:val="ListBullet2"/>
      </w:pPr>
      <w:r w:rsidRPr="00131E6F">
        <w:t>coaching</w:t>
      </w:r>
    </w:p>
    <w:p w:rsidR="00000000" w:rsidRPr="00131E6F" w:rsidP="00131E6F">
      <w:pPr>
        <w:pStyle w:val="ListBullet2"/>
      </w:pPr>
      <w:r w:rsidRPr="00131E6F">
        <w:t>mentoring</w:t>
      </w:r>
    </w:p>
    <w:p w:rsidR="00000000" w:rsidRPr="00131E6F" w:rsidP="00131E6F">
      <w:pPr>
        <w:pStyle w:val="ListBullet2"/>
      </w:pPr>
      <w:r w:rsidRPr="00131E6F">
        <w:t>problem solving</w:t>
      </w:r>
    </w:p>
    <w:p w:rsidR="00000000" w:rsidRPr="00131E6F" w:rsidP="00131E6F">
      <w:pPr>
        <w:pStyle w:val="ListBullet2"/>
      </w:pPr>
      <w:r w:rsidRPr="00131E6F">
        <w:t>counselling</w:t>
      </w:r>
    </w:p>
    <w:p w:rsidR="00000000" w:rsidRPr="00131E6F" w:rsidP="00131E6F">
      <w:pPr>
        <w:pStyle w:val="ListBullet2"/>
      </w:pPr>
      <w:r w:rsidRPr="00131E6F">
        <w:t>referral to available services</w:t>
      </w:r>
    </w:p>
    <w:p w:rsidR="00000000" w:rsidRPr="00131E6F" w:rsidP="00131E6F">
      <w:pPr>
        <w:pStyle w:val="ListBullet2"/>
      </w:pPr>
      <w:r w:rsidRPr="00131E6F">
        <w:t>debriefing.</w:t>
      </w:r>
    </w:p>
    <w:p w:rsidR="00000000" w:rsidRPr="00131E6F" w:rsidP="00131E6F">
      <w:pPr>
        <w:pStyle w:val="AllowPageBreak"/>
      </w:pPr>
    </w:p>
    <w:p w:rsidR="00000000" w:rsidRPr="00131E6F" w:rsidP="00131E6F">
      <w:pPr>
        <w:pStyle w:val="Heading1"/>
      </w:pPr>
      <w:bookmarkStart w:id="12" w:name="O_1215037"/>
      <w:bookmarkEnd w:id="12"/>
      <w:r w:rsidRPr="00131E6F">
        <w:t>Assessment Conditions</w:t>
      </w:r>
    </w:p>
    <w:p w:rsidR="00000000" w:rsidRPr="00131E6F" w:rsidP="00E672CB">
      <w:pPr>
        <w:pStyle w:val="BodyText"/>
      </w:pPr>
      <w:r w:rsidRPr="00131E6F">
        <w:t>Skills must be demonstrated in the workplace or in a simulated environment that reflects workplace conditions.</w:t>
      </w:r>
    </w:p>
    <w:p w:rsidR="00000000" w:rsidRPr="00131E6F" w:rsidP="00E672CB">
      <w:pPr>
        <w:pStyle w:val="BodyText"/>
      </w:pPr>
      <w:r w:rsidRPr="00131E6F">
        <w:t>Assessment must ensure access to:</w:t>
      </w:r>
    </w:p>
    <w:p w:rsidR="00000000" w:rsidRPr="00131E6F" w:rsidP="00131E6F">
      <w:pPr>
        <w:pStyle w:val="ListBullet"/>
      </w:pPr>
      <w:r w:rsidRPr="00131E6F">
        <w:t>legislation, policies and procedures relating to the public sector workplaces</w:t>
      </w:r>
    </w:p>
    <w:p w:rsidR="00000000" w:rsidRPr="00131E6F" w:rsidP="00131E6F">
      <w:pPr>
        <w:pStyle w:val="ListBullet"/>
      </w:pPr>
      <w:r w:rsidRPr="00131E6F">
        <w:t>resources and equipment of the w</w:t>
      </w:r>
      <w:r w:rsidRPr="00131E6F">
        <w:t>orking environment.</w:t>
      </w:r>
    </w:p>
    <w:p w:rsidR="00000000" w:rsidRPr="00131E6F" w:rsidP="00E672CB">
      <w:pPr>
        <w:pStyle w:val="BodyText"/>
      </w:pPr>
      <w:r w:rsidRPr="00131E6F">
        <w:t>Assessors must satisfy the Standards for Registered Training Organisations’ requirements for assessors.</w:t>
      </w:r>
    </w:p>
    <w:p w:rsidR="00000000" w:rsidRPr="00131E6F" w:rsidP="00131E6F">
      <w:pPr>
        <w:pStyle w:val="Heading1"/>
      </w:pPr>
      <w:bookmarkStart w:id="13" w:name="O_1215040"/>
      <w:bookmarkEnd w:id="13"/>
      <w:r w:rsidRPr="00131E6F">
        <w:t>Links</w:t>
      </w:r>
    </w:p>
    <w:p w:rsidR="00000000" w:rsidRPr="00131E6F" w:rsidP="00E672CB">
      <w:pPr>
        <w:pStyle w:val="BodyText"/>
      </w:pPr>
      <w:r w:rsidRPr="00131E6F">
        <w:t>Com</w:t>
      </w:r>
      <w:r w:rsidRPr="00131E6F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5E6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31E6F" w:rsidP="00131E6F"/>
    <w:sectPr w:rsidSect="00131E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6F" w:rsidRPr="00E672CB" w:rsidP="00E67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CB" w:rsidP="00131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2CB" w:rsidP="00131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672CB" w:rsidP="00131E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6F" w:rsidP="00131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2CB">
      <w:t>Approved</w:t>
    </w:r>
    <w:r w:rsidR="00E672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2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2CB">
      <w:rPr>
        <w:noProof/>
      </w:rPr>
      <w:t>4</w:t>
    </w:r>
    <w:r>
      <w:rPr>
        <w:noProof/>
      </w:rPr>
      <w:fldChar w:fldCharType="end"/>
    </w:r>
  </w:p>
  <w:p w:rsidR="00131E6F" w:rsidP="00131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2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2CB">
      <w:t>Public Skills Australia</w:t>
    </w:r>
    <w:r w:rsidR="00E672CB">
      <w:fldChar w:fldCharType="end"/>
    </w:r>
  </w:p>
  <w:p w:rsidR="00131E6F" w:rsidP="00131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E6F" w:rsidRPr="00E672CB" w:rsidP="00E67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CB" w:rsidRPr="002D2AF8" w:rsidP="00131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PSPGEN095 Facilitate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2CB" w:rsidP="00131E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6F" w:rsidRPr="002D2AF8" w:rsidP="00131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2CB">
      <w:t>PSPGEN095 Facilitate change</w:t>
    </w:r>
    <w:r w:rsidR="00E672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2CB">
      <w:rPr>
        <w:noProof/>
      </w:rPr>
      <w:t>2 March 2025</w:t>
    </w:r>
    <w:r>
      <w:fldChar w:fldCharType="end"/>
    </w:r>
  </w:p>
  <w:p w:rsidR="00131E6F" w:rsidP="00131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D27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60C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907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E6F"/>
  </w:style>
  <w:style w:type="character" w:customStyle="1" w:styleId="Heading1Char">
    <w:name w:val="Heading 1 Char"/>
    <w:basedOn w:val="DefaultParagraphFont"/>
    <w:link w:val="Heading1"/>
    <w:rsid w:val="00131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E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1E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E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E6F"/>
    <w:rPr>
      <w:b/>
      <w:spacing w:val="0"/>
    </w:rPr>
  </w:style>
  <w:style w:type="paragraph" w:styleId="ListBullet2">
    <w:name w:val="List Bullet 2"/>
    <w:basedOn w:val="List2"/>
    <w:rsid w:val="00131E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1E6F"/>
    <w:rPr>
      <w:i/>
    </w:rPr>
  </w:style>
  <w:style w:type="paragraph" w:customStyle="1" w:styleId="SuperHeading">
    <w:name w:val="SuperHeading"/>
    <w:basedOn w:val="Normal"/>
    <w:rsid w:val="00131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E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1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E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E6F"/>
  </w:style>
  <w:style w:type="paragraph" w:styleId="TableofFigures">
    <w:name w:val="table of figures"/>
    <w:basedOn w:val="Normal"/>
    <w:next w:val="Normal"/>
    <w:semiHidden/>
    <w:rsid w:val="00131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E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E6F"/>
    <w:rPr>
      <w:rFonts w:ascii="Wingdings" w:hAnsi="Wingdings"/>
    </w:rPr>
  </w:style>
  <w:style w:type="paragraph" w:customStyle="1" w:styleId="TableHeading">
    <w:name w:val="Table Heading"/>
    <w:basedOn w:val="HeadingBase"/>
    <w:rsid w:val="00131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E6F"/>
    <w:rPr>
      <w:color w:val="0033CC"/>
      <w:u w:val="none"/>
    </w:rPr>
  </w:style>
  <w:style w:type="paragraph" w:customStyle="1" w:styleId="BodyTextRight">
    <w:name w:val="Body Text Right"/>
    <w:basedOn w:val="BodyText"/>
    <w:rsid w:val="00131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E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E6F"/>
    <w:rPr>
      <w:sz w:val="32"/>
    </w:rPr>
  </w:style>
  <w:style w:type="paragraph" w:customStyle="1" w:styleId="HeadingProcedure">
    <w:name w:val="Heading Procedure"/>
    <w:basedOn w:val="HeadingBase"/>
    <w:next w:val="Normal"/>
    <w:rsid w:val="00131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E6F"/>
    <w:pPr>
      <w:spacing w:before="60" w:after="60"/>
    </w:pPr>
  </w:style>
  <w:style w:type="paragraph" w:styleId="ListContinue">
    <w:name w:val="List Continue"/>
    <w:basedOn w:val="List"/>
    <w:rsid w:val="00131E6F"/>
    <w:pPr>
      <w:ind w:firstLine="0"/>
    </w:pPr>
  </w:style>
  <w:style w:type="paragraph" w:customStyle="1" w:styleId="ListNote">
    <w:name w:val="List Note"/>
    <w:basedOn w:val="List"/>
    <w:rsid w:val="00131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E6F"/>
    <w:rPr>
      <w:rFonts w:ascii="Courier New" w:hAnsi="Courier New"/>
    </w:rPr>
  </w:style>
  <w:style w:type="paragraph" w:customStyle="1" w:styleId="NoteBullet">
    <w:name w:val="Note Bullet"/>
    <w:basedOn w:val="Note"/>
    <w:rsid w:val="00131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E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E6F"/>
    <w:rPr>
      <w:b/>
      <w:smallCaps/>
    </w:rPr>
  </w:style>
  <w:style w:type="paragraph" w:customStyle="1" w:styleId="TableListNumber">
    <w:name w:val="Table List Number"/>
    <w:basedOn w:val="ListNumber"/>
    <w:rsid w:val="00131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E6F"/>
    <w:pPr>
      <w:numPr>
        <w:numId w:val="9"/>
      </w:numPr>
    </w:pPr>
  </w:style>
  <w:style w:type="paragraph" w:customStyle="1" w:styleId="ListAlpha2">
    <w:name w:val="List Alpha 2"/>
    <w:basedOn w:val="List2"/>
    <w:rsid w:val="00131E6F"/>
    <w:pPr>
      <w:numPr>
        <w:numId w:val="8"/>
      </w:numPr>
    </w:pPr>
  </w:style>
  <w:style w:type="paragraph" w:styleId="List2">
    <w:name w:val="List 2"/>
    <w:basedOn w:val="BodyText"/>
    <w:rsid w:val="00131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E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E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E6F"/>
    <w:pPr>
      <w:numPr>
        <w:numId w:val="4"/>
      </w:numPr>
    </w:pPr>
  </w:style>
  <w:style w:type="paragraph" w:styleId="ListContinue2">
    <w:name w:val="List Continue 2"/>
    <w:basedOn w:val="List2"/>
    <w:rsid w:val="00131E6F"/>
    <w:pPr>
      <w:ind w:firstLine="0"/>
    </w:pPr>
  </w:style>
  <w:style w:type="paragraph" w:styleId="ListContinue3">
    <w:name w:val="List Continue 3"/>
    <w:basedOn w:val="List3"/>
    <w:rsid w:val="00131E6F"/>
    <w:pPr>
      <w:ind w:left="1021" w:firstLine="0"/>
    </w:pPr>
  </w:style>
  <w:style w:type="paragraph" w:styleId="ListContinue4">
    <w:name w:val="List Continue 4"/>
    <w:basedOn w:val="List4"/>
    <w:rsid w:val="00131E6F"/>
    <w:pPr>
      <w:ind w:firstLine="0"/>
    </w:pPr>
  </w:style>
  <w:style w:type="paragraph" w:styleId="ListContinue5">
    <w:name w:val="List Continue 5"/>
    <w:basedOn w:val="List5"/>
    <w:rsid w:val="00131E6F"/>
    <w:pPr>
      <w:ind w:firstLine="0"/>
    </w:pPr>
  </w:style>
  <w:style w:type="paragraph" w:styleId="ListNumber3">
    <w:name w:val="List Number 3"/>
    <w:basedOn w:val="List3"/>
    <w:rsid w:val="00131E6F"/>
    <w:pPr>
      <w:numPr>
        <w:numId w:val="5"/>
      </w:numPr>
    </w:pPr>
  </w:style>
  <w:style w:type="paragraph" w:styleId="ListNumber4">
    <w:name w:val="List Number 4"/>
    <w:basedOn w:val="List4"/>
    <w:rsid w:val="00131E6F"/>
    <w:pPr>
      <w:numPr>
        <w:numId w:val="6"/>
      </w:numPr>
    </w:pPr>
  </w:style>
  <w:style w:type="paragraph" w:styleId="ListNumber5">
    <w:name w:val="List Number 5"/>
    <w:basedOn w:val="List5"/>
    <w:rsid w:val="00131E6F"/>
    <w:pPr>
      <w:numPr>
        <w:numId w:val="7"/>
      </w:numPr>
    </w:pPr>
  </w:style>
  <w:style w:type="paragraph" w:styleId="BlockText">
    <w:name w:val="Block Text"/>
    <w:basedOn w:val="Normal"/>
    <w:rsid w:val="00131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E6F"/>
    <w:rPr>
      <w:sz w:val="16"/>
      <w:vertAlign w:val="superscript"/>
    </w:rPr>
  </w:style>
  <w:style w:type="character" w:customStyle="1" w:styleId="Symbols">
    <w:name w:val="Symbols"/>
    <w:basedOn w:val="DefaultParagraphFont"/>
    <w:rsid w:val="00131E6F"/>
    <w:rPr>
      <w:rFonts w:ascii="Symbol" w:hAnsi="Symbol"/>
    </w:rPr>
  </w:style>
  <w:style w:type="character" w:customStyle="1" w:styleId="MenuOptions">
    <w:name w:val="Menu Options"/>
    <w:basedOn w:val="DefaultParagraphFont"/>
    <w:rsid w:val="00131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E6F"/>
    <w:rPr>
      <w:b/>
    </w:rPr>
  </w:style>
  <w:style w:type="character" w:customStyle="1" w:styleId="Underlined">
    <w:name w:val="Underlined"/>
    <w:basedOn w:val="DefaultParagraphFont"/>
    <w:rsid w:val="00131E6F"/>
    <w:rPr>
      <w:u w:val="single"/>
    </w:rPr>
  </w:style>
  <w:style w:type="paragraph" w:customStyle="1" w:styleId="TableBodyTextRight">
    <w:name w:val="Table Body Text Right"/>
    <w:basedOn w:val="TableBodyText"/>
    <w:rsid w:val="00131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E6F"/>
    <w:rPr>
      <w:sz w:val="18"/>
    </w:rPr>
  </w:style>
  <w:style w:type="paragraph" w:customStyle="1" w:styleId="BodySmallRight">
    <w:name w:val="Body Small Right"/>
    <w:basedOn w:val="BodyTextRight"/>
    <w:rsid w:val="00131E6F"/>
    <w:rPr>
      <w:sz w:val="18"/>
      <w:szCs w:val="18"/>
    </w:rPr>
  </w:style>
  <w:style w:type="paragraph" w:customStyle="1" w:styleId="MarginEdition">
    <w:name w:val="Margin Edition"/>
    <w:basedOn w:val="MarginNote"/>
    <w:rsid w:val="00131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E6F"/>
    <w:rPr>
      <w:sz w:val="2"/>
      <w:szCs w:val="2"/>
    </w:rPr>
  </w:style>
  <w:style w:type="character" w:customStyle="1" w:styleId="Small">
    <w:name w:val="Small"/>
    <w:basedOn w:val="DefaultParagraphFont"/>
    <w:rsid w:val="00131E6F"/>
    <w:rPr>
      <w:sz w:val="16"/>
    </w:rPr>
  </w:style>
  <w:style w:type="paragraph" w:customStyle="1" w:styleId="WideTable">
    <w:name w:val="Wide Table"/>
    <w:basedOn w:val="Normal"/>
    <w:rsid w:val="00131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E6F"/>
  </w:style>
  <w:style w:type="paragraph" w:styleId="Quote">
    <w:name w:val="Quote"/>
    <w:basedOn w:val="Heading1"/>
    <w:link w:val="QuoteChar"/>
    <w:qFormat/>
    <w:rsid w:val="00131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E6F"/>
    <w:pPr>
      <w:pageBreakBefore/>
    </w:pPr>
  </w:style>
  <w:style w:type="paragraph" w:customStyle="1" w:styleId="Border">
    <w:name w:val="Border"/>
    <w:basedOn w:val="Normal"/>
    <w:qFormat/>
    <w:rsid w:val="00131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E6F"/>
    <w:rPr>
      <w:u w:val="single"/>
    </w:rPr>
  </w:style>
  <w:style w:type="character" w:customStyle="1" w:styleId="BoldandItalics">
    <w:name w:val="Bold and Italics"/>
    <w:qFormat/>
    <w:rsid w:val="00131E6F"/>
    <w:rPr>
      <w:b/>
      <w:i/>
      <w:u w:val="none"/>
    </w:rPr>
  </w:style>
  <w:style w:type="paragraph" w:styleId="BalloonText">
    <w:name w:val="Balloon Text"/>
    <w:basedOn w:val="Normal"/>
    <w:link w:val="BalloonTextChar"/>
    <w:rsid w:val="00131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E6F"/>
    <w:pPr>
      <w:spacing w:before="0" w:after="0"/>
    </w:pPr>
  </w:style>
  <w:style w:type="paragraph" w:customStyle="1" w:styleId="BodyTextBold">
    <w:name w:val="Body Text Bold"/>
    <w:basedOn w:val="BodyText"/>
    <w:qFormat/>
    <w:rsid w:val="00131E6F"/>
    <w:rPr>
      <w:b/>
    </w:rPr>
  </w:style>
  <w:style w:type="character" w:styleId="Hyperlink">
    <w:name w:val="Hyperlink"/>
    <w:basedOn w:val="DefaultParagraphFont"/>
    <w:uiPriority w:val="99"/>
    <w:unhideWhenUsed/>
    <w:rsid w:val="00E67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4514</Characters>
  <Application>Microsoft Office Word</Application>
  <DocSecurity>0</DocSecurity>
  <Lines>136</Lines>
  <Paragraphs>92</Paragraphs>
  <ScaleCrop>false</ScaleCrop>
  <Company>Author-it Software Corporation Ltd.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PSPGEN095 Facilitate change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