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F0A" w:rsidP="00560F0A">
      <w:pPr>
        <w:pStyle w:val="Title"/>
      </w:pPr>
      <w:r>
        <w:fldChar w:fldCharType="begin"/>
      </w:r>
      <w:r>
        <w:instrText xml:space="preserve"> TITLE   \* MERGEFORMAT </w:instrText>
      </w:r>
      <w:r>
        <w:fldChar w:fldCharType="separate"/>
      </w:r>
      <w:r>
        <w:t>PSPGEN078 Apply complex public sector financial requirements</w:t>
      </w:r>
      <w:r>
        <w:fldChar w:fldCharType="end"/>
      </w:r>
    </w:p>
    <w:p w:rsidR="00560F0A" w:rsidP="00560F0A">
      <w:pPr>
        <w:pStyle w:val="Version"/>
        <w:sectPr w:rsidSect="00113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E15" w:rsidP="00113E15">
      <w:pPr>
        <w:pStyle w:val="SuperHeading"/>
      </w:pPr>
      <w:r w:rsidRPr="00113E15">
        <w:t>PSPGEN078 Apply complex public sector financial requirements</w:t>
      </w:r>
    </w:p>
    <w:p w:rsidR="00000000" w:rsidRPr="00113E15" w:rsidP="00113E15">
      <w:pPr>
        <w:pStyle w:val="Heading1"/>
      </w:pPr>
      <w:bookmarkStart w:id="1" w:name="O_820187"/>
      <w:bookmarkEnd w:id="1"/>
      <w:r w:rsidRPr="00113E15">
        <w:t>Modification History</w:t>
      </w:r>
    </w:p>
    <w:tbl>
      <w:tblPr>
        <w:tblW w:w="0" w:type="auto"/>
        <w:tblLayout w:type="fixed"/>
        <w:tblCellMar>
          <w:left w:w="62" w:type="dxa"/>
          <w:right w:w="62" w:type="dxa"/>
        </w:tblCellMar>
        <w:tblLook w:val="0000"/>
      </w:tblPr>
      <w:tblGrid>
        <w:gridCol w:w="1134"/>
        <w:gridCol w:w="7937"/>
      </w:tblGrid>
      <w:tr w:rsidTr="00560F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TableHeading"/>
              <w:rPr>
                <w:lang w:val="en-NZ"/>
              </w:rPr>
            </w:pPr>
            <w:r w:rsidRPr="00113E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TableHeading"/>
              <w:rPr>
                <w:lang w:val="en-NZ"/>
              </w:rPr>
            </w:pPr>
            <w:r w:rsidRPr="00113E15">
              <w:t>Comments</w:t>
            </w:r>
          </w:p>
        </w:tc>
      </w:tr>
      <w:tr w:rsidTr="00560F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BodyText"/>
              <w:rPr>
                <w:lang w:val="en-NZ"/>
              </w:rPr>
            </w:pPr>
            <w:r w:rsidRPr="00113E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15" w:rsidP="00113E15">
            <w:pPr>
              <w:pStyle w:val="BodyText"/>
            </w:pPr>
            <w:r w:rsidRPr="00113E15">
              <w:t xml:space="preserve">This unit was released in PSP Public Sector Training Package release 1.0 and meets the Standards for Training Packages. </w:t>
            </w:r>
          </w:p>
          <w:p w:rsidR="00000000" w:rsidRPr="00113E15" w:rsidP="00113E15">
            <w:pPr>
              <w:pStyle w:val="BodyText"/>
            </w:pPr>
          </w:p>
          <w:p w:rsidR="00000000" w:rsidRPr="00113E15" w:rsidP="00113E15">
            <w:pPr>
              <w:pStyle w:val="BodyText"/>
            </w:pPr>
            <w:r w:rsidRPr="00113E15">
              <w:t>This unit supersedes and is equivalent to PSPFIN601A Apply complex public sec</w:t>
            </w:r>
            <w:r w:rsidRPr="00113E15">
              <w:t>tor financial requirements.</w:t>
            </w:r>
          </w:p>
          <w:p w:rsidR="00000000" w:rsidRPr="00113E15" w:rsidP="00113E15">
            <w:pPr>
              <w:pStyle w:val="BodyText"/>
            </w:pPr>
          </w:p>
          <w:p w:rsidR="00000000" w:rsidRPr="00113E15" w:rsidP="00113E15">
            <w:pPr>
              <w:pStyle w:val="ListBullet"/>
            </w:pPr>
            <w:r w:rsidRPr="00113E15">
              <w:t>Unit code updated</w:t>
            </w:r>
          </w:p>
          <w:p w:rsidR="00000000" w:rsidRPr="00113E15" w:rsidP="00113E15">
            <w:pPr>
              <w:pStyle w:val="ListBullet"/>
            </w:pPr>
            <w:r w:rsidRPr="00113E15">
              <w:t>Content and formatting updated to comply with new standards</w:t>
            </w:r>
          </w:p>
          <w:p w:rsidR="00000000" w:rsidRPr="00113E15" w:rsidP="00113E15">
            <w:pPr>
              <w:pStyle w:val="ListBullet"/>
            </w:pPr>
            <w:r w:rsidRPr="00113E15">
              <w:t>All PC transitioned from passive to active voice</w:t>
            </w:r>
          </w:p>
        </w:tc>
      </w:tr>
    </w:tbl>
    <w:p w:rsidR="00560F0A" w:rsidP="00113E15">
      <w:pPr>
        <w:pStyle w:val="BodyText"/>
      </w:pPr>
    </w:p>
    <w:p w:rsidR="00560F0A" w:rsidP="00113E15">
      <w:pPr>
        <w:pStyle w:val="BodyText"/>
      </w:pPr>
    </w:p>
    <w:p w:rsidR="00000000" w:rsidRPr="00113E15" w:rsidP="00113E15">
      <w:pPr>
        <w:pStyle w:val="Heading1"/>
      </w:pPr>
      <w:bookmarkStart w:id="2" w:name="O_820188"/>
      <w:bookmarkEnd w:id="2"/>
      <w:r w:rsidRPr="00113E15">
        <w:t>Application</w:t>
      </w:r>
    </w:p>
    <w:p w:rsidR="00000000" w:rsidRPr="00113E15" w:rsidP="00560F0A">
      <w:pPr>
        <w:pStyle w:val="BodyText"/>
      </w:pPr>
      <w:r w:rsidRPr="00113E15">
        <w:t>This unit describes the skills required to interpret complex financial policies and procedures and provision of advice on complex financial issues. It includes intimate, high-level knowledge of the public sector financial management compliance framework, e</w:t>
      </w:r>
      <w:r w:rsidRPr="00113E15">
        <w:t>xternal requirements, industry and accounting standards and the application of these to work in a specialist finance role in the public sector. It includes interpreting and applying complex public sector financial requirements, establishing and applying in</w:t>
      </w:r>
      <w:r w:rsidRPr="00113E15">
        <w:t>ternal financial controls, and formulating/maintaining financial policy.</w:t>
      </w:r>
    </w:p>
    <w:p w:rsidR="00000000" w:rsidRPr="00113E15" w:rsidP="00560F0A">
      <w:pPr>
        <w:pStyle w:val="BodyText"/>
      </w:pPr>
      <w:r w:rsidRPr="00113E15">
        <w:t>This unit applies to those working in the public sector in specialist financial roles.</w:t>
      </w:r>
    </w:p>
    <w:p w:rsidR="00000000" w:rsidRPr="00113E15" w:rsidP="00560F0A">
      <w:pPr>
        <w:pStyle w:val="BodyText"/>
      </w:pPr>
      <w:r w:rsidRPr="00113E15">
        <w:t>The skills and knowledge described in this unit must be applied within the legislative, regula</w:t>
      </w:r>
      <w:r w:rsidRPr="00113E15">
        <w:t>tory and policy environment in which they are carried out. Organisational policies and procedures must be consulted and adhered to.</w:t>
      </w:r>
    </w:p>
    <w:p w:rsidR="00000000" w:rsidRPr="00113E15" w:rsidP="00560F0A">
      <w:pPr>
        <w:pStyle w:val="BodyText"/>
      </w:pPr>
      <w:r w:rsidRPr="00113E15">
        <w:t>Those undertaking this unit would work autonomously, supervising others where necessary, performing complex tasks in a fami</w:t>
      </w:r>
      <w:r w:rsidRPr="00113E15">
        <w:t>liar context.</w:t>
      </w:r>
    </w:p>
    <w:p w:rsidR="00560F0A" w:rsidP="00560F0A">
      <w:pPr>
        <w:pStyle w:val="BodyText"/>
      </w:pPr>
      <w:r w:rsidRPr="00113E15">
        <w:t>No licensing, legislative or certification requirements apply to unit at the time of publication.</w:t>
      </w:r>
    </w:p>
    <w:p w:rsidR="00000000" w:rsidRPr="00113E15" w:rsidP="00113E15">
      <w:pPr>
        <w:pStyle w:val="Heading1"/>
      </w:pPr>
      <w:bookmarkStart w:id="3" w:name="O_820190"/>
      <w:bookmarkEnd w:id="3"/>
      <w:r w:rsidRPr="00113E15">
        <w:t>Competency Field</w:t>
      </w:r>
    </w:p>
    <w:p w:rsidR="00000000" w:rsidRPr="00113E15" w:rsidP="00560F0A">
      <w:pPr>
        <w:pStyle w:val="BodyText"/>
      </w:pPr>
      <w:r w:rsidRPr="00113E15">
        <w:t>General</w:t>
      </w:r>
    </w:p>
    <w:p w:rsidR="00000000" w:rsidRPr="00113E15" w:rsidP="00113E15">
      <w:pPr>
        <w:pStyle w:val="Heading1"/>
      </w:pPr>
      <w:bookmarkStart w:id="4" w:name="O_820192"/>
      <w:bookmarkEnd w:id="4"/>
      <w:r w:rsidRPr="00113E15">
        <w:t>Elements and Performance Criteria</w:t>
      </w:r>
    </w:p>
    <w:tbl>
      <w:tblPr>
        <w:tblW w:w="0" w:type="auto"/>
        <w:tblLayout w:type="fixed"/>
        <w:tblCellMar>
          <w:left w:w="62" w:type="dxa"/>
          <w:right w:w="62" w:type="dxa"/>
        </w:tblCellMar>
        <w:tblLook w:val="0000"/>
      </w:tblPr>
      <w:tblGrid>
        <w:gridCol w:w="2203"/>
        <w:gridCol w:w="6804"/>
      </w:tblGrid>
      <w:tr w:rsidTr="00113E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TableHeading"/>
              <w:rPr>
                <w:lang w:val="en-NZ"/>
              </w:rPr>
            </w:pPr>
            <w:r w:rsidRPr="00113E1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TableHeading"/>
              <w:rPr>
                <w:lang w:val="en-NZ"/>
              </w:rPr>
            </w:pPr>
            <w:r w:rsidRPr="00113E15">
              <w:t>PERFORMANCE CRITERIA</w:t>
            </w:r>
          </w:p>
        </w:tc>
      </w:tr>
      <w:tr w:rsidTr="00113E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BodyText"/>
              <w:rPr>
                <w:lang w:val="en-NZ"/>
              </w:rPr>
            </w:pPr>
            <w:r w:rsidRPr="00113E1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BodyText"/>
              <w:rPr>
                <w:lang w:val="en-NZ"/>
              </w:rPr>
            </w:pPr>
            <w:r w:rsidRPr="00113E15">
              <w:t>Performance criteria describe the performance needed to demonstrate achievement of the element. Where bold italicised text is used, further information is detailed in the range of conditions section.</w:t>
            </w:r>
          </w:p>
        </w:tc>
      </w:tr>
      <w:tr w:rsidTr="00113E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List"/>
              <w:rPr>
                <w:lang w:val="en-NZ"/>
              </w:rPr>
            </w:pPr>
            <w:r w:rsidRPr="00113E15">
              <w:rPr>
                <w:rStyle w:val="SpecialBold"/>
              </w:rPr>
              <w:t>1.</w:t>
            </w:r>
            <w:r w:rsidRPr="00113E15">
              <w:rPr>
                <w:rStyle w:val="SpecialBold"/>
              </w:rPr>
              <w:tab/>
              <w:t>Interpret a</w:t>
            </w:r>
            <w:r w:rsidRPr="00113E15">
              <w:rPr>
                <w:rStyle w:val="SpecialBold"/>
              </w:rPr>
              <w:t>nd apply complex public sector financial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15" w:rsidP="00113E15">
            <w:pPr>
              <w:pStyle w:val="List"/>
            </w:pPr>
            <w:r w:rsidRPr="00113E15">
              <w:t>1.1</w:t>
            </w:r>
            <w:r w:rsidRPr="00113E15">
              <w:tab/>
              <w:t>Identify public sector financial requirements.</w:t>
            </w:r>
          </w:p>
          <w:p w:rsidR="00000000" w:rsidRPr="00113E15" w:rsidP="00113E15">
            <w:pPr>
              <w:pStyle w:val="List"/>
            </w:pPr>
            <w:r w:rsidRPr="00113E15">
              <w:t>1.2</w:t>
            </w:r>
            <w:r w:rsidRPr="00113E15">
              <w:tab/>
              <w:t>Interpret and explain public sector financial management compliance framework hierarchy to others in accordance with their needs, to ensure the org</w:t>
            </w:r>
            <w:r w:rsidRPr="00113E15">
              <w:t>anisation’s compliance with the framework’s requirements.</w:t>
            </w:r>
          </w:p>
          <w:p w:rsidR="00000000" w:rsidRPr="00113E15" w:rsidP="00113E15">
            <w:pPr>
              <w:pStyle w:val="List"/>
            </w:pPr>
            <w:r w:rsidRPr="00113E15">
              <w:t>1.3</w:t>
            </w:r>
            <w:r w:rsidRPr="00113E15">
              <w:tab/>
              <w:t xml:space="preserve">Provide advice regarding interpretation of public sector financial policies and procedures and accounting standards. </w:t>
            </w:r>
          </w:p>
          <w:p w:rsidR="00000000" w:rsidRPr="00113E15" w:rsidP="00113E15">
            <w:pPr>
              <w:pStyle w:val="List"/>
            </w:pPr>
            <w:r w:rsidRPr="00113E15">
              <w:t>1.4</w:t>
            </w:r>
            <w:r w:rsidRPr="00113E15">
              <w:tab/>
              <w:t>Interpret and provide information on the organisation’</w:t>
            </w:r>
            <w:r w:rsidRPr="00113E15">
              <w:t>s financial controls and accountabilities to management and staff.</w:t>
            </w:r>
          </w:p>
          <w:p w:rsidR="00000000" w:rsidP="00113E15">
            <w:pPr>
              <w:pStyle w:val="List"/>
              <w:rPr>
                <w:lang w:val="en-NZ"/>
              </w:rPr>
            </w:pPr>
            <w:r w:rsidRPr="00113E15">
              <w:t>1.5</w:t>
            </w:r>
            <w:r w:rsidRPr="00113E15">
              <w:tab/>
              <w:t>Develop and refine business solutions for the organisation.</w:t>
            </w:r>
          </w:p>
        </w:tc>
      </w:tr>
      <w:tr w:rsidTr="00113E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List"/>
              <w:rPr>
                <w:lang w:val="en-NZ"/>
              </w:rPr>
            </w:pPr>
            <w:r w:rsidRPr="00113E15">
              <w:rPr>
                <w:rStyle w:val="SpecialBold"/>
              </w:rPr>
              <w:t>2.</w:t>
            </w:r>
            <w:r w:rsidRPr="00113E15">
              <w:rPr>
                <w:rStyle w:val="SpecialBold"/>
              </w:rPr>
              <w:tab/>
              <w:t>Establish and apply internal financial controls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15" w:rsidP="00113E15">
            <w:pPr>
              <w:pStyle w:val="List"/>
            </w:pPr>
            <w:r w:rsidRPr="00113E15">
              <w:t>2.1</w:t>
            </w:r>
            <w:r w:rsidRPr="00113E15">
              <w:tab/>
              <w:t>Analyse current internal controls for improvement and revise or repla</w:t>
            </w:r>
            <w:r w:rsidRPr="00113E15">
              <w:t>ce as required.</w:t>
            </w:r>
          </w:p>
          <w:p w:rsidR="00000000" w:rsidRPr="00113E15" w:rsidP="00113E15">
            <w:pPr>
              <w:pStyle w:val="List"/>
            </w:pPr>
            <w:r w:rsidRPr="00113E15">
              <w:t>2.2</w:t>
            </w:r>
            <w:r w:rsidRPr="00113E15">
              <w:tab/>
              <w:t>Review controls to ensure they include effective delegation levels, lines of responsibility, and associated accountabilities.</w:t>
            </w:r>
          </w:p>
          <w:p w:rsidR="00000000" w:rsidRPr="00113E15" w:rsidP="00113E15">
            <w:pPr>
              <w:pStyle w:val="List"/>
            </w:pPr>
            <w:r w:rsidRPr="00113E15">
              <w:t>2.3</w:t>
            </w:r>
            <w:r w:rsidRPr="00113E15">
              <w:tab/>
              <w:t>Check controls for consistency with government policy and organisational structure.</w:t>
            </w:r>
          </w:p>
          <w:p w:rsidR="00000000" w:rsidP="00113E15">
            <w:pPr>
              <w:pStyle w:val="List"/>
              <w:rPr>
                <w:lang w:val="en-NZ"/>
              </w:rPr>
            </w:pPr>
            <w:r w:rsidRPr="00113E15">
              <w:t>2.4</w:t>
            </w:r>
            <w:r w:rsidRPr="00113E15">
              <w:tab/>
              <w:t>Implement, documen</w:t>
            </w:r>
            <w:r w:rsidRPr="00113E15">
              <w:t>t and make accessible systems and surrounding control procedures.</w:t>
            </w:r>
          </w:p>
        </w:tc>
      </w:tr>
      <w:tr w:rsidTr="00113E1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List"/>
              <w:rPr>
                <w:lang w:val="en-NZ"/>
              </w:rPr>
            </w:pPr>
            <w:r w:rsidRPr="00113E15">
              <w:rPr>
                <w:rStyle w:val="SpecialBold"/>
              </w:rPr>
              <w:t>3.</w:t>
            </w:r>
            <w:r w:rsidRPr="00113E15">
              <w:rPr>
                <w:rStyle w:val="SpecialBold"/>
              </w:rPr>
              <w:tab/>
              <w:t>Formulate and maintain financial policy and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15" w:rsidP="00113E15">
            <w:pPr>
              <w:pStyle w:val="List"/>
            </w:pPr>
            <w:r w:rsidRPr="00113E15">
              <w:t>3.1</w:t>
            </w:r>
            <w:r w:rsidRPr="00113E15">
              <w:tab/>
              <w:t>Interpret public sector financial policies and procedures and provide advice on the implications for the organisation’s financi</w:t>
            </w:r>
            <w:r w:rsidRPr="00113E15">
              <w:t>al policy and procedures.</w:t>
            </w:r>
          </w:p>
          <w:p w:rsidR="00000000" w:rsidRPr="00113E15" w:rsidP="00113E15">
            <w:pPr>
              <w:pStyle w:val="List"/>
            </w:pPr>
            <w:r w:rsidRPr="00113E15">
              <w:t>3.2</w:t>
            </w:r>
            <w:r w:rsidRPr="00113E15">
              <w:tab/>
              <w:t>Develop and approve organisational financial policy and procedures.</w:t>
            </w:r>
          </w:p>
          <w:p w:rsidR="00000000" w:rsidRPr="00113E15" w:rsidP="00113E15">
            <w:pPr>
              <w:pStyle w:val="List"/>
            </w:pPr>
            <w:r w:rsidRPr="00113E15">
              <w:t>3.3</w:t>
            </w:r>
            <w:r w:rsidRPr="00113E15">
              <w:tab/>
              <w:t>Provide input to inter</w:t>
            </w:r>
            <w:r w:rsidRPr="00113E15">
              <w:noBreakHyphen/>
              <w:t>departmental accounting groups responsible for policy development.</w:t>
            </w:r>
          </w:p>
          <w:p w:rsidR="00000000" w:rsidRPr="00113E15" w:rsidP="00113E15">
            <w:pPr>
              <w:pStyle w:val="List"/>
            </w:pPr>
            <w:r w:rsidRPr="00113E15">
              <w:t>3.4</w:t>
            </w:r>
            <w:r w:rsidRPr="00113E15">
              <w:tab/>
              <w:t>Develop policies to meet regulatory and legislative requirem</w:t>
            </w:r>
            <w:r w:rsidRPr="00113E15">
              <w:t>ents and cost-effective best practice.</w:t>
            </w:r>
          </w:p>
        </w:tc>
      </w:tr>
    </w:tbl>
    <w:p w:rsidR="00560F0A" w:rsidP="00113E15">
      <w:pPr>
        <w:pStyle w:val="BodyText"/>
      </w:pPr>
    </w:p>
    <w:p w:rsidR="00560F0A" w:rsidP="00113E15">
      <w:pPr>
        <w:pStyle w:val="BodyText"/>
      </w:pPr>
    </w:p>
    <w:p w:rsidR="00000000" w:rsidRPr="00113E15" w:rsidP="00113E15">
      <w:pPr>
        <w:pStyle w:val="Heading1"/>
      </w:pPr>
      <w:bookmarkStart w:id="5" w:name="O_820193"/>
      <w:bookmarkEnd w:id="5"/>
      <w:r w:rsidRPr="00113E15">
        <w:t>Foundation Skills</w:t>
      </w:r>
    </w:p>
    <w:p w:rsidR="00000000" w:rsidRPr="00113E15" w:rsidP="00560F0A">
      <w:pPr>
        <w:pStyle w:val="BodyText"/>
      </w:pPr>
      <w:r w:rsidRPr="00113E15">
        <w:t>Foundation skills are embedded within the elements and performance criteria of this unit.</w:t>
      </w:r>
    </w:p>
    <w:p w:rsidR="00000000" w:rsidRPr="00113E15" w:rsidP="00113E15">
      <w:pPr>
        <w:pStyle w:val="Heading1"/>
      </w:pPr>
      <w:bookmarkStart w:id="6" w:name="O_820195"/>
      <w:bookmarkEnd w:id="6"/>
      <w:r w:rsidRPr="00113E15">
        <w:t>Unit Mapping Information</w:t>
      </w:r>
    </w:p>
    <w:p w:rsidR="00000000" w:rsidRPr="00113E15" w:rsidP="00560F0A">
      <w:pPr>
        <w:pStyle w:val="BodyText"/>
      </w:pPr>
      <w:r w:rsidRPr="00113E15">
        <w:t>This unit supersedes and is equivalent to PSPFIN601A Apply complex public sector financial requirements.</w:t>
      </w:r>
    </w:p>
    <w:p w:rsidR="00000000" w:rsidRPr="00113E15" w:rsidP="00113E15">
      <w:pPr>
        <w:pStyle w:val="Heading1"/>
      </w:pPr>
      <w:bookmarkStart w:id="7" w:name="O_820202"/>
      <w:bookmarkEnd w:id="7"/>
      <w:r w:rsidRPr="00113E15">
        <w:t>Links</w:t>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560F0A">
      <w:pPr>
        <w:pStyle w:val="BodyText"/>
        <w:sectPr w:rsidSect="00113E15">
          <w:headerReference w:type="default" r:id="rId10"/>
          <w:footerReference w:type="default" r:id="rId11"/>
          <w:pgSz w:w="11908" w:h="16833"/>
          <w:pgMar w:top="1702" w:right="1418" w:bottom="1702" w:left="1418" w:header="992" w:footer="992" w:gutter="0"/>
          <w:cols w:space="720"/>
          <w:noEndnote/>
          <w:docGrid w:linePitch="299"/>
        </w:sectPr>
      </w:pPr>
    </w:p>
    <w:p w:rsidR="00000000" w:rsidRPr="00113E15" w:rsidP="00113E15">
      <w:pPr>
        <w:pStyle w:val="SuperHeading"/>
      </w:pPr>
      <w:r w:rsidRPr="00113E15">
        <w:t>Assessmen</w:t>
      </w:r>
      <w:r w:rsidRPr="00113E15">
        <w:t>t Requirements for PSPGEN078 Apply complex public sector financial requirements</w:t>
      </w:r>
    </w:p>
    <w:p w:rsidR="00000000" w:rsidRPr="00113E15" w:rsidP="00113E15">
      <w:pPr>
        <w:pStyle w:val="Heading1"/>
      </w:pPr>
      <w:bookmarkStart w:id="8" w:name="O_820197"/>
      <w:bookmarkEnd w:id="8"/>
      <w:r w:rsidRPr="00113E15">
        <w:t>Modification History</w:t>
      </w:r>
    </w:p>
    <w:tbl>
      <w:tblPr>
        <w:tblW w:w="0" w:type="auto"/>
        <w:tblLayout w:type="fixed"/>
        <w:tblCellMar>
          <w:left w:w="62" w:type="dxa"/>
          <w:right w:w="62" w:type="dxa"/>
        </w:tblCellMar>
        <w:tblLook w:val="0000"/>
      </w:tblPr>
      <w:tblGrid>
        <w:gridCol w:w="1134"/>
        <w:gridCol w:w="7937"/>
      </w:tblGrid>
      <w:tr w:rsidTr="00560F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TableHeading"/>
              <w:rPr>
                <w:lang w:val="en-NZ"/>
              </w:rPr>
            </w:pPr>
            <w:r w:rsidRPr="00113E1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TableHeading"/>
              <w:rPr>
                <w:lang w:val="en-NZ"/>
              </w:rPr>
            </w:pPr>
            <w:r w:rsidRPr="00113E15">
              <w:t>Comments</w:t>
            </w:r>
          </w:p>
        </w:tc>
      </w:tr>
      <w:tr w:rsidTr="00560F0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3E15">
            <w:pPr>
              <w:pStyle w:val="BodyText"/>
              <w:rPr>
                <w:lang w:val="en-NZ"/>
              </w:rPr>
            </w:pPr>
            <w:r w:rsidRPr="00113E1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3E15" w:rsidP="00113E15">
            <w:pPr>
              <w:pStyle w:val="BodyText"/>
            </w:pPr>
            <w:r w:rsidRPr="00113E15">
              <w:t xml:space="preserve">These Assessment Requirements were released in PSP Public Sector Training Package release 1.0 and meet the Standards for Training Packages. </w:t>
            </w:r>
          </w:p>
          <w:p w:rsidR="00000000" w:rsidRPr="00113E15" w:rsidP="00113E15">
            <w:pPr>
              <w:pStyle w:val="BodyText"/>
            </w:pPr>
          </w:p>
          <w:p w:rsidR="00000000" w:rsidRPr="00113E15" w:rsidP="00113E15">
            <w:pPr>
              <w:pStyle w:val="ListBullet"/>
            </w:pPr>
            <w:r w:rsidRPr="00113E15">
              <w:t>Assessment Requirements created drawing upon specified assessment information from superseded unit</w:t>
            </w:r>
          </w:p>
        </w:tc>
      </w:tr>
    </w:tbl>
    <w:p w:rsidR="00000000" w:rsidRPr="00113E15" w:rsidP="00113E15">
      <w:pPr>
        <w:pStyle w:val="BodyText"/>
      </w:pPr>
    </w:p>
    <w:p w:rsidR="00000000" w:rsidRPr="00113E15" w:rsidP="00113E15">
      <w:pPr>
        <w:pStyle w:val="AllowPageBreak"/>
      </w:pPr>
    </w:p>
    <w:p w:rsidR="00000000" w:rsidRPr="00113E15" w:rsidP="00113E15">
      <w:pPr>
        <w:pStyle w:val="Heading1"/>
      </w:pPr>
      <w:bookmarkStart w:id="9" w:name="O_820198"/>
      <w:bookmarkEnd w:id="9"/>
      <w:r w:rsidRPr="00113E15">
        <w:t>Performance Evidence</w:t>
      </w:r>
    </w:p>
    <w:p w:rsidR="00000000" w:rsidRPr="00113E15" w:rsidP="00560F0A">
      <w:pPr>
        <w:pStyle w:val="BodyText"/>
      </w:pPr>
      <w:r w:rsidRPr="00113E15">
        <w:t>Evidence required to demonstrate competence must satisfy all of the requirements of the elements and performance criteria. If not otherwise specified the candidate must demonstrate evidence of performance of the following on at le</w:t>
      </w:r>
      <w:r w:rsidRPr="00113E15">
        <w:t>ast one occasion.</w:t>
      </w:r>
    </w:p>
    <w:p w:rsidR="00000000" w:rsidRPr="00113E15" w:rsidP="00113E15">
      <w:pPr>
        <w:pStyle w:val="ListBullet"/>
      </w:pPr>
      <w:r w:rsidRPr="00113E15">
        <w:t>interpreting complex and formal documents, including legislation, policies, procedures, and accounting standards, and providing advice on their interpretation and application</w:t>
      </w:r>
    </w:p>
    <w:p w:rsidR="00000000" w:rsidRPr="00113E15" w:rsidP="00113E15">
      <w:pPr>
        <w:pStyle w:val="ListBullet"/>
      </w:pPr>
      <w:r w:rsidRPr="00113E15">
        <w:t>adjusting communication to suit different audiences</w:t>
      </w:r>
    </w:p>
    <w:p w:rsidR="00000000" w:rsidRPr="00113E15" w:rsidP="00113E15">
      <w:pPr>
        <w:pStyle w:val="ListBullet"/>
      </w:pPr>
      <w:r w:rsidRPr="00113E15">
        <w:t>preparing reports and policies requiring precision of expression</w:t>
      </w:r>
    </w:p>
    <w:p w:rsidR="00000000" w:rsidRPr="00113E15" w:rsidP="00113E15">
      <w:pPr>
        <w:pStyle w:val="ListBullet"/>
      </w:pPr>
      <w:r w:rsidRPr="00113E15">
        <w:t>setting industry benchmarks and influencing policy</w:t>
      </w:r>
    </w:p>
    <w:p w:rsidR="00000000" w:rsidRPr="00113E15" w:rsidP="00113E15">
      <w:pPr>
        <w:pStyle w:val="ListBullet"/>
      </w:pPr>
      <w:r w:rsidRPr="00113E15">
        <w:t>synthesising and applying information and legislation accessed electronically or in hard copy</w:t>
      </w:r>
    </w:p>
    <w:p w:rsidR="00000000" w:rsidRPr="00113E15" w:rsidP="00113E15">
      <w:pPr>
        <w:pStyle w:val="ListBullet"/>
      </w:pPr>
      <w:r w:rsidRPr="00113E15">
        <w:t>applying environmental and work health and saf</w:t>
      </w:r>
      <w:r w:rsidRPr="00113E15">
        <w:t>ety procedures relating to working in the public sector</w:t>
      </w:r>
    </w:p>
    <w:p w:rsidR="00000000" w:rsidRPr="00113E15" w:rsidP="00113E15">
      <w:pPr>
        <w:pStyle w:val="AllowPageBreak"/>
      </w:pPr>
    </w:p>
    <w:p w:rsidR="00000000" w:rsidRPr="00113E15" w:rsidP="00113E15">
      <w:pPr>
        <w:pStyle w:val="Heading1"/>
      </w:pPr>
      <w:bookmarkStart w:id="10" w:name="O_820199"/>
      <w:bookmarkEnd w:id="10"/>
      <w:r w:rsidRPr="00113E15">
        <w:t>Knowledge Evidence</w:t>
      </w:r>
    </w:p>
    <w:p w:rsidR="00000000" w:rsidRPr="00113E15" w:rsidP="00560F0A">
      <w:pPr>
        <w:pStyle w:val="BodyText"/>
      </w:pPr>
      <w:r w:rsidRPr="00113E15">
        <w:t>Evidence required to demonstrate competence must satisfy all of the requirements of the elements and performance criteria. If not otherwise specified the depth of k</w:t>
      </w:r>
      <w:r w:rsidRPr="00113E15">
        <w:t>nowledge demonstrated must be appropriate to the job context of the candidate.</w:t>
      </w:r>
    </w:p>
    <w:p w:rsidR="00000000" w:rsidRPr="00113E15" w:rsidP="00113E15">
      <w:pPr>
        <w:pStyle w:val="ListBullet"/>
      </w:pPr>
      <w:r w:rsidRPr="00113E15">
        <w:t>public sector legislation including work health and safety and environment, policies and processes relating to public sector finance</w:t>
      </w:r>
    </w:p>
    <w:p w:rsidR="00000000" w:rsidRPr="00113E15" w:rsidP="00113E15">
      <w:pPr>
        <w:pStyle w:val="ListBullet"/>
      </w:pPr>
      <w:r w:rsidRPr="00113E15">
        <w:t>public sector financial management complian</w:t>
      </w:r>
      <w:r w:rsidRPr="00113E15">
        <w:t>ce framework (intimate knowledge) and the relationship of the elements of the framework</w:t>
      </w:r>
    </w:p>
    <w:p w:rsidR="00000000" w:rsidRPr="00113E15" w:rsidP="00113E15">
      <w:pPr>
        <w:pStyle w:val="ListBullet"/>
      </w:pPr>
      <w:r w:rsidRPr="00113E15">
        <w:t>internal control principles and how these have been applied to financial processes</w:t>
      </w:r>
    </w:p>
    <w:p w:rsidR="00000000" w:rsidRPr="00113E15" w:rsidP="00113E15">
      <w:pPr>
        <w:pStyle w:val="ListBullet"/>
      </w:pPr>
      <w:r w:rsidRPr="00113E15">
        <w:t>corporate governance requirements/relationship of financial management compliance fra</w:t>
      </w:r>
      <w:r w:rsidRPr="00113E15">
        <w:t>mework to organisational structures</w:t>
      </w:r>
    </w:p>
    <w:p w:rsidR="00000000" w:rsidRPr="00113E15" w:rsidP="00113E15">
      <w:pPr>
        <w:pStyle w:val="ListBullet"/>
      </w:pPr>
      <w:r w:rsidRPr="00113E15">
        <w:t>service level agreements</w:t>
      </w:r>
    </w:p>
    <w:p w:rsidR="00000000" w:rsidRPr="00113E15" w:rsidP="00113E15">
      <w:pPr>
        <w:pStyle w:val="ListBullet"/>
      </w:pPr>
      <w:r w:rsidRPr="00113E15">
        <w:t>internal and external reporting requirements</w:t>
      </w:r>
    </w:p>
    <w:p w:rsidR="00000000" w:rsidRPr="00113E15" w:rsidP="00113E15">
      <w:pPr>
        <w:pStyle w:val="ListBullet"/>
      </w:pPr>
      <w:r w:rsidRPr="00113E15">
        <w:t xml:space="preserve">industry and accounting standards </w:t>
      </w:r>
    </w:p>
    <w:p w:rsidR="00000000" w:rsidRPr="00113E15" w:rsidP="00113E15">
      <w:pPr>
        <w:pStyle w:val="ListBullet"/>
      </w:pPr>
      <w:r w:rsidRPr="00113E15">
        <w:t>public sector standards and codes of conduct/ethics</w:t>
      </w:r>
    </w:p>
    <w:p w:rsidR="00000000" w:rsidRPr="00113E15" w:rsidP="00113E15">
      <w:pPr>
        <w:pStyle w:val="AllowPageBreak"/>
      </w:pPr>
    </w:p>
    <w:p w:rsidR="00000000" w:rsidRPr="00113E15" w:rsidP="00113E15">
      <w:pPr>
        <w:pStyle w:val="Heading1"/>
      </w:pPr>
      <w:bookmarkStart w:id="11" w:name="O_820200"/>
      <w:bookmarkEnd w:id="11"/>
      <w:r w:rsidRPr="00113E15">
        <w:t>Assessment Conditions</w:t>
      </w:r>
    </w:p>
    <w:p w:rsidR="00000000" w:rsidRPr="00113E15" w:rsidP="00560F0A">
      <w:pPr>
        <w:pStyle w:val="BodyText"/>
      </w:pPr>
      <w:r w:rsidRPr="00113E15">
        <w:t>This unit contains no sp</w:t>
      </w:r>
      <w:r w:rsidRPr="00113E15">
        <w:t xml:space="preserve">ecific industry-mandated assessment conditions. Guidance on suggested and recommended conditions and methods can be found in the Implementation Guide. </w:t>
      </w:r>
    </w:p>
    <w:p w:rsidR="00560F0A" w:rsidP="00560F0A">
      <w:pPr>
        <w:pStyle w:val="BodyText"/>
      </w:pPr>
      <w:r w:rsidRPr="00113E15">
        <w:t>Assessors must satisfy the NVR/AQTF mandatory competency requirements for assessors.</w:t>
      </w:r>
    </w:p>
    <w:p w:rsidR="00000000" w:rsidRPr="00113E15" w:rsidP="00113E15">
      <w:pPr>
        <w:pStyle w:val="Heading1"/>
      </w:pPr>
      <w:bookmarkStart w:id="12" w:name="O_820203"/>
      <w:bookmarkEnd w:id="12"/>
      <w:r w:rsidRPr="00113E15">
        <w:t>Links</w:t>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560F0A">
      <w:pPr>
        <w:pStyle w:val="BodyText"/>
      </w:pPr>
      <w:r w:rsidRPr="00113E1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D22AA">
        <w:rPr>
          <w:rStyle w:val="Hyperlink"/>
        </w:rPr>
        <w:t>https://vetnet.gov.au/Pages/TrainingDocs.aspx?q=bebbece7-ff48-4d2c-8876-405679019623</w:t>
      </w:r>
      <w:r>
        <w:fldChar w:fldCharType="end"/>
      </w:r>
    </w:p>
    <w:p w:rsidR="00000000" w:rsidRPr="00113E15" w:rsidP="00113E15"/>
    <w:sectPr w:rsidSect="00113E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rsidRPr="00560F0A" w:rsidP="00560F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0A" w:rsidP="00113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F0A" w:rsidP="00113E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60F0A" w:rsidP="00113E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rsidP="00113E15">
    <w:pPr>
      <w:pStyle w:val="Footer"/>
      <w:framePr w:wrap="around"/>
    </w:pPr>
    <w:r>
      <w:fldChar w:fldCharType="begin"/>
    </w:r>
    <w:r>
      <w:instrText xml:space="preserve"> DOCPROPERTY  Subject  \* MERGEFORMAT </w:instrText>
    </w:r>
    <w:r>
      <w:fldChar w:fldCharType="separate"/>
    </w:r>
    <w:r w:rsidR="00560F0A">
      <w:t>Approved</w:t>
    </w:r>
    <w:r w:rsidR="00560F0A">
      <w:fldChar w:fldCharType="end"/>
    </w:r>
    <w:r>
      <w:tab/>
      <w:t xml:space="preserve">Page </w:t>
    </w:r>
    <w:r>
      <w:fldChar w:fldCharType="begin"/>
    </w:r>
    <w:r>
      <w:instrText xml:space="preserve"> PAGE  \* Arabic  \* MERGEFORMAT </w:instrText>
    </w:r>
    <w:r>
      <w:fldChar w:fldCharType="separate"/>
    </w:r>
    <w:r w:rsidR="00560F0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F0A">
      <w:rPr>
        <w:noProof/>
      </w:rPr>
      <w:t>4</w:t>
    </w:r>
    <w:r>
      <w:rPr>
        <w:noProof/>
      </w:rPr>
      <w:fldChar w:fldCharType="end"/>
    </w:r>
  </w:p>
  <w:p w:rsidR="00113E15" w:rsidP="00113E15">
    <w:pPr>
      <w:pStyle w:val="Footer"/>
      <w:framePr w:wrap="around"/>
    </w:pPr>
    <w:r>
      <w:t xml:space="preserve">© Commonwealth of Australia, </w:t>
    </w:r>
    <w:r>
      <w:fldChar w:fldCharType="begin"/>
    </w:r>
    <w:r>
      <w:instrText xml:space="preserve"> DATE  \@ "yyyy"  \* MERGEFORMAT </w:instrText>
    </w:r>
    <w:r>
      <w:fldChar w:fldCharType="separate"/>
    </w:r>
    <w:r w:rsidR="00560F0A">
      <w:rPr>
        <w:noProof/>
      </w:rPr>
      <w:t>2025</w:t>
    </w:r>
    <w:r>
      <w:fldChar w:fldCharType="end"/>
    </w:r>
    <w:r>
      <w:tab/>
    </w:r>
    <w:r>
      <w:fldChar w:fldCharType="begin"/>
    </w:r>
    <w:r>
      <w:instrText xml:space="preserve"> DOCPROPERTY  Author  \* MERGEFORMAT </w:instrText>
    </w:r>
    <w:r>
      <w:fldChar w:fldCharType="separate"/>
    </w:r>
    <w:r w:rsidR="00560F0A">
      <w:t>Public Skills Australia</w:t>
    </w:r>
    <w:r w:rsidR="00560F0A">
      <w:fldChar w:fldCharType="end"/>
    </w:r>
  </w:p>
  <w:p w:rsidR="00113E15" w:rsidP="00113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E15" w:rsidRPr="00560F0A" w:rsidP="00560F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0A" w:rsidRPr="002D2AF8" w:rsidP="00113E15">
    <w:pPr>
      <w:pStyle w:val="Header"/>
      <w:framePr w:wrap="around"/>
    </w:pPr>
    <w:r>
      <w:fldChar w:fldCharType="begin"/>
    </w:r>
    <w:r>
      <w:instrText xml:space="preserve"> TITLE   \* MERGEFORMAT </w:instrText>
    </w:r>
    <w:r>
      <w:fldChar w:fldCharType="separate"/>
    </w:r>
    <w:r>
      <w:t>PSPGEN078 Apply complex public sector financial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0F0A" w:rsidP="00113E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E15" w:rsidRPr="002D2AF8" w:rsidP="00113E15">
    <w:pPr>
      <w:pStyle w:val="Header"/>
      <w:framePr w:wrap="around"/>
    </w:pPr>
    <w:r>
      <w:fldChar w:fldCharType="begin"/>
    </w:r>
    <w:r>
      <w:instrText xml:space="preserve"> TITLE   \* MERGEFORMAT </w:instrText>
    </w:r>
    <w:r>
      <w:fldChar w:fldCharType="separate"/>
    </w:r>
    <w:r w:rsidR="00560F0A">
      <w:t>PSPGEN078 Apply complex public sector financial requirements</w:t>
    </w:r>
    <w:r w:rsidR="00560F0A">
      <w:fldChar w:fldCharType="end"/>
    </w:r>
    <w:r>
      <w:tab/>
      <w:t xml:space="preserve">Date this document was generated: </w:t>
    </w:r>
    <w:r>
      <w:fldChar w:fldCharType="begin"/>
    </w:r>
    <w:r>
      <w:instrText xml:space="preserve"> CREATEDATE  \@ "d MMMM yyyy"  \* MERGEFORMAT </w:instrText>
    </w:r>
    <w:r>
      <w:fldChar w:fldCharType="separate"/>
    </w:r>
    <w:r w:rsidR="00560F0A">
      <w:rPr>
        <w:noProof/>
      </w:rPr>
      <w:t>2 March 2025</w:t>
    </w:r>
    <w:r>
      <w:fldChar w:fldCharType="end"/>
    </w:r>
  </w:p>
  <w:p w:rsidR="00113E15" w:rsidP="00113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0C5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84F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E15"/>
    <w:pPr>
      <w:spacing w:before="360" w:after="60"/>
      <w:outlineLvl w:val="0"/>
    </w:pPr>
    <w:rPr>
      <w:sz w:val="32"/>
    </w:rPr>
  </w:style>
  <w:style w:type="paragraph" w:styleId="Heading2">
    <w:name w:val="heading 2"/>
    <w:basedOn w:val="HeadingBase"/>
    <w:next w:val="BodyText"/>
    <w:link w:val="Heading2Char"/>
    <w:qFormat/>
    <w:rsid w:val="00113E15"/>
    <w:pPr>
      <w:keepLines/>
      <w:spacing w:before="240" w:after="120"/>
      <w:outlineLvl w:val="1"/>
    </w:pPr>
    <w:rPr>
      <w:sz w:val="28"/>
      <w:szCs w:val="40"/>
    </w:rPr>
  </w:style>
  <w:style w:type="paragraph" w:styleId="Heading3">
    <w:name w:val="heading 3"/>
    <w:basedOn w:val="HeadingBase"/>
    <w:next w:val="BodyText"/>
    <w:link w:val="Heading3Char"/>
    <w:qFormat/>
    <w:rsid w:val="00113E15"/>
    <w:pPr>
      <w:spacing w:before="180" w:after="120"/>
      <w:outlineLvl w:val="2"/>
    </w:pPr>
    <w:rPr>
      <w:spacing w:val="-10"/>
      <w:kern w:val="32"/>
    </w:rPr>
  </w:style>
  <w:style w:type="paragraph" w:styleId="Heading4">
    <w:name w:val="heading 4"/>
    <w:basedOn w:val="HeadingBase"/>
    <w:next w:val="BodyText"/>
    <w:link w:val="Heading4Char"/>
    <w:qFormat/>
    <w:rsid w:val="00113E15"/>
    <w:pPr>
      <w:spacing w:before="160" w:after="120"/>
      <w:outlineLvl w:val="3"/>
    </w:pPr>
    <w:rPr>
      <w:sz w:val="22"/>
    </w:rPr>
  </w:style>
  <w:style w:type="paragraph" w:styleId="Heading5">
    <w:name w:val="heading 5"/>
    <w:basedOn w:val="HeadingBase"/>
    <w:next w:val="Normal"/>
    <w:link w:val="Heading5Char"/>
    <w:qFormat/>
    <w:rsid w:val="00113E15"/>
    <w:pPr>
      <w:spacing w:before="80"/>
      <w:outlineLvl w:val="4"/>
    </w:pPr>
    <w:rPr>
      <w:color w:val="918585"/>
      <w:sz w:val="20"/>
    </w:rPr>
  </w:style>
  <w:style w:type="paragraph" w:styleId="Heading6">
    <w:name w:val="heading 6"/>
    <w:basedOn w:val="HeadingBase"/>
    <w:next w:val="Normal"/>
    <w:link w:val="Heading6Char"/>
    <w:qFormat/>
    <w:rsid w:val="00113E15"/>
    <w:pPr>
      <w:spacing w:before="60"/>
      <w:outlineLvl w:val="5"/>
    </w:pPr>
    <w:rPr>
      <w:color w:val="918585"/>
      <w:sz w:val="20"/>
    </w:rPr>
  </w:style>
  <w:style w:type="paragraph" w:styleId="Heading7">
    <w:name w:val="heading 7"/>
    <w:basedOn w:val="Normal"/>
    <w:next w:val="Normal"/>
    <w:link w:val="Heading7Char"/>
    <w:qFormat/>
    <w:rsid w:val="00113E15"/>
    <w:pPr>
      <w:ind w:left="720"/>
      <w:outlineLvl w:val="6"/>
    </w:pPr>
    <w:rPr>
      <w:i/>
    </w:rPr>
  </w:style>
  <w:style w:type="paragraph" w:styleId="Heading8">
    <w:name w:val="heading 8"/>
    <w:basedOn w:val="Normal"/>
    <w:next w:val="Normal"/>
    <w:link w:val="Heading8Char"/>
    <w:qFormat/>
    <w:rsid w:val="00113E15"/>
    <w:pPr>
      <w:ind w:left="720"/>
      <w:outlineLvl w:val="7"/>
    </w:pPr>
    <w:rPr>
      <w:i/>
    </w:rPr>
  </w:style>
  <w:style w:type="paragraph" w:styleId="Heading9">
    <w:name w:val="heading 9"/>
    <w:basedOn w:val="Normal"/>
    <w:next w:val="Normal"/>
    <w:link w:val="Heading9Char"/>
    <w:qFormat/>
    <w:rsid w:val="00113E15"/>
    <w:pPr>
      <w:ind w:left="720"/>
      <w:outlineLvl w:val="8"/>
    </w:pPr>
    <w:rPr>
      <w:i/>
    </w:rPr>
  </w:style>
  <w:style w:type="character" w:default="1" w:styleId="DefaultParagraphFont">
    <w:name w:val="Default Paragraph Font"/>
    <w:uiPriority w:val="1"/>
    <w:unhideWhenUsed/>
    <w:rsid w:val="00113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E15"/>
  </w:style>
  <w:style w:type="character" w:customStyle="1" w:styleId="Heading1Char">
    <w:name w:val="Heading 1 Char"/>
    <w:basedOn w:val="DefaultParagraphFont"/>
    <w:link w:val="Heading1"/>
    <w:rsid w:val="00113E15"/>
    <w:rPr>
      <w:rFonts w:ascii="Times New Roman" w:eastAsia="Times New Roman" w:hAnsi="Times New Roman" w:cs="Times New Roman"/>
      <w:b/>
      <w:sz w:val="32"/>
      <w:szCs w:val="20"/>
      <w:lang w:eastAsia="en-US"/>
    </w:rPr>
  </w:style>
  <w:style w:type="paragraph" w:styleId="BodyText">
    <w:name w:val="Body Text"/>
    <w:basedOn w:val="Normal"/>
    <w:link w:val="BodyTextChar"/>
    <w:rsid w:val="00113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E15"/>
    <w:rPr>
      <w:rFonts w:ascii="Times New Roman" w:eastAsia="Times New Roman" w:hAnsi="Times New Roman" w:cs="Times New Roman"/>
      <w:sz w:val="24"/>
      <w:lang w:eastAsia="en-US"/>
    </w:rPr>
  </w:style>
  <w:style w:type="paragraph" w:styleId="List">
    <w:name w:val="List"/>
    <w:basedOn w:val="BodyText"/>
    <w:next w:val="BodyText"/>
    <w:rsid w:val="00113E15"/>
    <w:pPr>
      <w:tabs>
        <w:tab w:val="left" w:pos="340"/>
      </w:tabs>
      <w:spacing w:before="60" w:after="60"/>
      <w:ind w:left="340" w:hanging="340"/>
    </w:pPr>
  </w:style>
  <w:style w:type="paragraph" w:styleId="ListBullet">
    <w:name w:val="List Bullet"/>
    <w:basedOn w:val="List"/>
    <w:rsid w:val="00113E15"/>
    <w:pPr>
      <w:numPr>
        <w:numId w:val="11"/>
      </w:numPr>
      <w:tabs>
        <w:tab w:val="clear" w:pos="340"/>
      </w:tabs>
      <w:spacing w:before="40" w:after="40"/>
    </w:pPr>
  </w:style>
  <w:style w:type="character" w:customStyle="1" w:styleId="SpecialBold">
    <w:name w:val="Special Bold"/>
    <w:basedOn w:val="DefaultParagraphFont"/>
    <w:rsid w:val="00113E15"/>
    <w:rPr>
      <w:b/>
      <w:spacing w:val="0"/>
    </w:rPr>
  </w:style>
  <w:style w:type="paragraph" w:customStyle="1" w:styleId="SuperHeading">
    <w:name w:val="SuperHeading"/>
    <w:basedOn w:val="Normal"/>
    <w:rsid w:val="00113E15"/>
    <w:pPr>
      <w:spacing w:before="240" w:after="120"/>
      <w:outlineLvl w:val="0"/>
    </w:pPr>
    <w:rPr>
      <w:rFonts w:ascii="Times New Roman" w:hAnsi="Times New Roman"/>
      <w:b/>
      <w:sz w:val="32"/>
    </w:rPr>
  </w:style>
  <w:style w:type="paragraph" w:customStyle="1" w:styleId="TableHeading">
    <w:name w:val="Table Heading"/>
    <w:basedOn w:val="HeadingBase"/>
    <w:rsid w:val="00113E15"/>
    <w:pPr>
      <w:keepLines/>
      <w:pBdr>
        <w:bottom w:val="single" w:sz="6" w:space="1" w:color="918585"/>
      </w:pBdr>
      <w:spacing w:before="240"/>
    </w:pPr>
  </w:style>
  <w:style w:type="paragraph" w:customStyle="1" w:styleId="AllowPageBreak">
    <w:name w:val="AllowPageBreak"/>
    <w:rsid w:val="00113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E15"/>
    <w:rPr>
      <w:rFonts w:ascii="Courier New" w:eastAsia="Times New Roman" w:hAnsi="Courier New" w:cs="Times New Roman"/>
      <w:i/>
      <w:szCs w:val="20"/>
      <w:lang w:eastAsia="en-US"/>
    </w:rPr>
  </w:style>
  <w:style w:type="paragraph" w:customStyle="1" w:styleId="HeadingBase">
    <w:name w:val="Heading Base"/>
    <w:rsid w:val="00113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E15"/>
    <w:pPr>
      <w:tabs>
        <w:tab w:val="right" w:leader="dot" w:pos="9072"/>
      </w:tabs>
      <w:ind w:left="567"/>
    </w:pPr>
    <w:rPr>
      <w:szCs w:val="22"/>
    </w:rPr>
  </w:style>
  <w:style w:type="paragraph" w:customStyle="1" w:styleId="TOCBase">
    <w:name w:val="TOC Base"/>
    <w:rsid w:val="00113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E15"/>
    <w:pPr>
      <w:tabs>
        <w:tab w:val="right" w:leader="dot" w:pos="9072"/>
      </w:tabs>
      <w:spacing w:before="40" w:after="40"/>
      <w:ind w:left="284"/>
    </w:pPr>
    <w:rPr>
      <w:rFonts w:ascii="Times New Roman" w:hAnsi="Times New Roman"/>
    </w:rPr>
  </w:style>
  <w:style w:type="paragraph" w:styleId="TOC1">
    <w:name w:val="toc 1"/>
    <w:basedOn w:val="TOCBase"/>
    <w:next w:val="Normal"/>
    <w:rsid w:val="00113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E15"/>
    <w:rPr>
      <w:rFonts w:ascii="Times New Roman" w:eastAsia="Times New Roman" w:hAnsi="Times New Roman" w:cs="Times New Roman"/>
      <w:sz w:val="16"/>
      <w:lang w:eastAsia="en-US"/>
    </w:rPr>
  </w:style>
  <w:style w:type="paragraph" w:styleId="Title">
    <w:name w:val="Title"/>
    <w:basedOn w:val="HeadingBase"/>
    <w:link w:val="TitleChar"/>
    <w:qFormat/>
    <w:rsid w:val="00113E15"/>
    <w:pPr>
      <w:spacing w:before="5040"/>
      <w:jc w:val="center"/>
    </w:pPr>
    <w:rPr>
      <w:sz w:val="48"/>
      <w:szCs w:val="72"/>
      <w:lang w:val="en-US"/>
    </w:rPr>
  </w:style>
  <w:style w:type="character" w:customStyle="1" w:styleId="TitleChar">
    <w:name w:val="Title Char"/>
    <w:basedOn w:val="DefaultParagraphFont"/>
    <w:link w:val="Title"/>
    <w:rsid w:val="00113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E15"/>
    <w:pPr>
      <w:tabs>
        <w:tab w:val="left" w:pos="3600"/>
        <w:tab w:val="left" w:pos="3958"/>
      </w:tabs>
    </w:pPr>
  </w:style>
  <w:style w:type="paragraph" w:customStyle="1" w:styleId="Note">
    <w:name w:val="Note"/>
    <w:basedOn w:val="BodyText"/>
    <w:rsid w:val="00113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E15"/>
    <w:pPr>
      <w:framePr w:wrap="auto" w:hAnchor="text" w:y="6049"/>
    </w:pPr>
    <w:rPr>
      <w:color w:val="000000"/>
      <w:sz w:val="40"/>
    </w:rPr>
  </w:style>
  <w:style w:type="paragraph" w:customStyle="1" w:styleId="TOCTitle">
    <w:name w:val="TOCTitle"/>
    <w:basedOn w:val="Heading1"/>
    <w:rsid w:val="00113E15"/>
    <w:pPr>
      <w:spacing w:after="240"/>
      <w:jc w:val="center"/>
      <w:outlineLvl w:val="9"/>
    </w:pPr>
    <w:rPr>
      <w:caps/>
    </w:rPr>
  </w:style>
  <w:style w:type="paragraph" w:customStyle="1" w:styleId="Version">
    <w:name w:val="Version"/>
    <w:rsid w:val="00113E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3E15"/>
    <w:pPr>
      <w:numPr>
        <w:numId w:val="12"/>
      </w:numPr>
      <w:tabs>
        <w:tab w:val="clear" w:pos="680"/>
      </w:tabs>
    </w:pPr>
  </w:style>
  <w:style w:type="paragraph" w:styleId="Index1">
    <w:name w:val="index 1"/>
    <w:basedOn w:val="Normal"/>
    <w:next w:val="Normal"/>
    <w:semiHidden/>
    <w:rsid w:val="00113E15"/>
    <w:pPr>
      <w:keepNext w:val="0"/>
      <w:tabs>
        <w:tab w:val="right" w:pos="4176"/>
      </w:tabs>
      <w:ind w:left="198" w:hanging="198"/>
    </w:pPr>
    <w:rPr>
      <w:rFonts w:ascii="Garamond" w:hAnsi="Garamond"/>
    </w:rPr>
  </w:style>
  <w:style w:type="paragraph" w:styleId="IndexHeading">
    <w:name w:val="index heading"/>
    <w:basedOn w:val="Normal"/>
    <w:next w:val="Index1"/>
    <w:semiHidden/>
    <w:rsid w:val="00113E15"/>
    <w:pPr>
      <w:spacing w:before="120" w:after="120"/>
    </w:pPr>
    <w:rPr>
      <w:rFonts w:ascii="Arial" w:hAnsi="Arial"/>
      <w:b/>
      <w:color w:val="918585"/>
      <w:sz w:val="24"/>
    </w:rPr>
  </w:style>
  <w:style w:type="paragraph" w:styleId="Header">
    <w:name w:val="header"/>
    <w:basedOn w:val="Normal"/>
    <w:link w:val="HeaderChar"/>
    <w:rsid w:val="00113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E15"/>
    <w:rPr>
      <w:rFonts w:ascii="Times New Roman" w:eastAsia="Times New Roman" w:hAnsi="Times New Roman" w:cs="Times New Roman"/>
      <w:sz w:val="16"/>
      <w:szCs w:val="20"/>
      <w:lang w:val="en-GB" w:eastAsia="en-US"/>
    </w:rPr>
  </w:style>
  <w:style w:type="paragraph" w:customStyle="1" w:styleId="Chapter">
    <w:name w:val="Chapter"/>
    <w:basedOn w:val="Normal"/>
    <w:rsid w:val="00113E15"/>
    <w:pPr>
      <w:spacing w:before="240"/>
    </w:pPr>
    <w:rPr>
      <w:rFonts w:ascii="Times New Roman" w:hAnsi="Times New Roman"/>
      <w:smallCaps/>
      <w:spacing w:val="80"/>
      <w:sz w:val="28"/>
    </w:rPr>
  </w:style>
  <w:style w:type="paragraph" w:customStyle="1" w:styleId="InChapter">
    <w:name w:val="InChapter"/>
    <w:basedOn w:val="Heading3"/>
    <w:rsid w:val="00113E15"/>
    <w:pPr>
      <w:spacing w:after="240"/>
      <w:outlineLvl w:val="9"/>
    </w:pPr>
    <w:rPr>
      <w:noProof/>
    </w:rPr>
  </w:style>
  <w:style w:type="paragraph" w:styleId="Index2">
    <w:name w:val="index 2"/>
    <w:basedOn w:val="Normal"/>
    <w:next w:val="Normal"/>
    <w:semiHidden/>
    <w:rsid w:val="00113E15"/>
    <w:pPr>
      <w:tabs>
        <w:tab w:val="right" w:pos="4176"/>
      </w:tabs>
      <w:ind w:left="568" w:hanging="284"/>
    </w:pPr>
    <w:rPr>
      <w:rFonts w:ascii="Garamond" w:hAnsi="Garamond"/>
    </w:rPr>
  </w:style>
  <w:style w:type="paragraph" w:customStyle="1" w:styleId="Byline">
    <w:name w:val="Byline"/>
    <w:rsid w:val="00113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E15"/>
    <w:pPr>
      <w:tabs>
        <w:tab w:val="clear" w:pos="3600"/>
        <w:tab w:val="clear" w:pos="3958"/>
      </w:tabs>
      <w:jc w:val="right"/>
    </w:pPr>
  </w:style>
  <w:style w:type="character" w:styleId="Emphasis">
    <w:name w:val="Emphasis"/>
    <w:basedOn w:val="DefaultParagraphFont"/>
    <w:qFormat/>
    <w:rsid w:val="00113E15"/>
    <w:rPr>
      <w:i/>
    </w:rPr>
  </w:style>
  <w:style w:type="paragraph" w:styleId="Caption">
    <w:name w:val="caption"/>
    <w:basedOn w:val="BodyText"/>
    <w:next w:val="Normal"/>
    <w:qFormat/>
    <w:rsid w:val="00113E15"/>
    <w:pPr>
      <w:framePr w:w="2268" w:hSpace="181" w:vSpace="181" w:wrap="around" w:vAnchor="text" w:hAnchor="page" w:x="1135" w:y="285" w:anchorLock="1"/>
    </w:pPr>
    <w:rPr>
      <w:i/>
    </w:rPr>
  </w:style>
  <w:style w:type="paragraph" w:customStyle="1" w:styleId="MiniTOCTitle">
    <w:name w:val="MiniTOCTitle"/>
    <w:basedOn w:val="Heading4"/>
    <w:rsid w:val="00113E15"/>
    <w:pPr>
      <w:spacing w:before="240"/>
      <w:outlineLvl w:val="9"/>
    </w:pPr>
    <w:rPr>
      <w:noProof/>
      <w:sz w:val="24"/>
    </w:rPr>
  </w:style>
  <w:style w:type="paragraph" w:customStyle="1" w:styleId="MiniTOCItem">
    <w:name w:val="MiniTOCItem"/>
    <w:basedOn w:val="ListBullet"/>
    <w:rsid w:val="00113E15"/>
    <w:pPr>
      <w:numPr>
        <w:numId w:val="0"/>
      </w:numPr>
      <w:tabs>
        <w:tab w:val="right" w:leader="dot" w:pos="6521"/>
      </w:tabs>
      <w:spacing w:before="0" w:after="0"/>
    </w:pPr>
  </w:style>
  <w:style w:type="paragraph" w:customStyle="1" w:styleId="TOFTitle">
    <w:name w:val="TOFTitle"/>
    <w:basedOn w:val="TOCTitle"/>
    <w:rsid w:val="00113E15"/>
  </w:style>
  <w:style w:type="paragraph" w:styleId="TableofFigures">
    <w:name w:val="table of figures"/>
    <w:basedOn w:val="Normal"/>
    <w:next w:val="Normal"/>
    <w:semiHidden/>
    <w:rsid w:val="00113E15"/>
    <w:pPr>
      <w:tabs>
        <w:tab w:val="right" w:leader="dot" w:pos="9072"/>
      </w:tabs>
      <w:ind w:left="970" w:hanging="403"/>
    </w:pPr>
    <w:rPr>
      <w:rFonts w:ascii="Times New Roman" w:hAnsi="Times New Roman"/>
      <w:b/>
    </w:rPr>
  </w:style>
  <w:style w:type="paragraph" w:styleId="ListNumber">
    <w:name w:val="List Number"/>
    <w:basedOn w:val="List"/>
    <w:rsid w:val="00113E15"/>
    <w:pPr>
      <w:numPr>
        <w:numId w:val="14"/>
      </w:numPr>
      <w:tabs>
        <w:tab w:val="clear" w:pos="340"/>
      </w:tabs>
    </w:pPr>
  </w:style>
  <w:style w:type="character" w:customStyle="1" w:styleId="WingdingSymbols">
    <w:name w:val="Wingding Symbols"/>
    <w:rsid w:val="00113E15"/>
    <w:rPr>
      <w:rFonts w:ascii="Wingdings" w:hAnsi="Wingdings"/>
    </w:rPr>
  </w:style>
  <w:style w:type="character" w:customStyle="1" w:styleId="HotSpot">
    <w:name w:val="HotSpot"/>
    <w:rsid w:val="00113E15"/>
    <w:rPr>
      <w:color w:val="0033CC"/>
      <w:u w:val="none"/>
    </w:rPr>
  </w:style>
  <w:style w:type="paragraph" w:customStyle="1" w:styleId="BodyTextRight">
    <w:name w:val="Body Text Right"/>
    <w:basedOn w:val="BodyText"/>
    <w:rsid w:val="00113E15"/>
    <w:pPr>
      <w:spacing w:before="0" w:after="0"/>
      <w:jc w:val="right"/>
    </w:pPr>
  </w:style>
  <w:style w:type="paragraph" w:styleId="Index3">
    <w:name w:val="index 3"/>
    <w:basedOn w:val="ListNumber2"/>
    <w:next w:val="Normal"/>
    <w:semiHidden/>
    <w:rsid w:val="00113E15"/>
    <w:pPr>
      <w:numPr>
        <w:numId w:val="0"/>
      </w:numPr>
      <w:tabs>
        <w:tab w:val="right" w:leader="dot" w:pos="4176"/>
      </w:tabs>
    </w:pPr>
  </w:style>
  <w:style w:type="paragraph" w:styleId="ListNumber2">
    <w:name w:val="List Number 2"/>
    <w:basedOn w:val="List2"/>
    <w:rsid w:val="00113E15"/>
    <w:pPr>
      <w:numPr>
        <w:numId w:val="9"/>
      </w:numPr>
      <w:tabs>
        <w:tab w:val="clear" w:pos="1060"/>
      </w:tabs>
    </w:pPr>
  </w:style>
  <w:style w:type="paragraph" w:customStyle="1" w:styleId="MarginNote">
    <w:name w:val="Margin Note"/>
    <w:basedOn w:val="BodyText"/>
    <w:rsid w:val="00113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E15"/>
    <w:rPr>
      <w:sz w:val="32"/>
    </w:rPr>
  </w:style>
  <w:style w:type="paragraph" w:customStyle="1" w:styleId="HeadingProcedure">
    <w:name w:val="Heading Procedure"/>
    <w:basedOn w:val="HeadingBase"/>
    <w:next w:val="Normal"/>
    <w:rsid w:val="00113E15"/>
    <w:pPr>
      <w:tabs>
        <w:tab w:val="left" w:pos="0"/>
      </w:tabs>
      <w:spacing w:before="120" w:after="60"/>
    </w:pPr>
    <w:rPr>
      <w:i/>
      <w:color w:val="918585"/>
      <w:sz w:val="22"/>
    </w:rPr>
  </w:style>
  <w:style w:type="paragraph" w:customStyle="1" w:styleId="TableBodyText">
    <w:name w:val="Table Body Text"/>
    <w:basedOn w:val="BodyText"/>
    <w:rsid w:val="00113E15"/>
    <w:pPr>
      <w:spacing w:before="60" w:after="60"/>
    </w:pPr>
  </w:style>
  <w:style w:type="paragraph" w:styleId="ListContinue">
    <w:name w:val="List Continue"/>
    <w:basedOn w:val="List"/>
    <w:rsid w:val="00113E15"/>
    <w:pPr>
      <w:ind w:firstLine="0"/>
    </w:pPr>
  </w:style>
  <w:style w:type="paragraph" w:customStyle="1" w:styleId="ListNote">
    <w:name w:val="List Note"/>
    <w:basedOn w:val="List"/>
    <w:rsid w:val="00113E15"/>
    <w:pPr>
      <w:pBdr>
        <w:top w:val="single" w:sz="6" w:space="2" w:color="918585"/>
        <w:bottom w:val="single" w:sz="6" w:space="2" w:color="918585"/>
      </w:pBdr>
      <w:tabs>
        <w:tab w:val="left" w:pos="1021"/>
      </w:tabs>
      <w:ind w:firstLine="0"/>
    </w:pPr>
  </w:style>
  <w:style w:type="paragraph" w:customStyle="1" w:styleId="Warning">
    <w:name w:val="Warning"/>
    <w:basedOn w:val="BodyText"/>
    <w:rsid w:val="00113E15"/>
    <w:pPr>
      <w:shd w:val="clear" w:color="auto" w:fill="D9D9D9"/>
      <w:tabs>
        <w:tab w:val="left" w:pos="992"/>
      </w:tabs>
      <w:ind w:left="119" w:right="119"/>
    </w:pPr>
    <w:rPr>
      <w:sz w:val="20"/>
    </w:rPr>
  </w:style>
  <w:style w:type="paragraph" w:customStyle="1" w:styleId="MarginIcons">
    <w:name w:val="Margin Icons"/>
    <w:basedOn w:val="BodyText"/>
    <w:rsid w:val="00113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E15"/>
    <w:rPr>
      <w:rFonts w:ascii="Courier New" w:hAnsi="Courier New"/>
    </w:rPr>
  </w:style>
  <w:style w:type="paragraph" w:customStyle="1" w:styleId="NoteBullet">
    <w:name w:val="Note Bullet"/>
    <w:basedOn w:val="Note"/>
    <w:rsid w:val="00113E15"/>
    <w:pPr>
      <w:tabs>
        <w:tab w:val="clear" w:pos="680"/>
      </w:tabs>
      <w:spacing w:before="60" w:after="60"/>
    </w:pPr>
  </w:style>
  <w:style w:type="paragraph" w:customStyle="1" w:styleId="SubHeading2">
    <w:name w:val="SubHeading2"/>
    <w:basedOn w:val="HeadingBase"/>
    <w:rsid w:val="00113E15"/>
    <w:pPr>
      <w:spacing w:before="240" w:after="60"/>
    </w:pPr>
    <w:rPr>
      <w:sz w:val="20"/>
    </w:rPr>
  </w:style>
  <w:style w:type="paragraph" w:customStyle="1" w:styleId="SubHeading1">
    <w:name w:val="SubHeading1"/>
    <w:basedOn w:val="HeadingBase"/>
    <w:rsid w:val="00113E15"/>
    <w:pPr>
      <w:spacing w:before="240" w:after="60"/>
    </w:pPr>
    <w:rPr>
      <w:color w:val="918585"/>
      <w:sz w:val="22"/>
    </w:rPr>
  </w:style>
  <w:style w:type="paragraph" w:customStyle="1" w:styleId="SideHeading">
    <w:name w:val="Side Heading"/>
    <w:basedOn w:val="HeadingBase"/>
    <w:rsid w:val="00113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E15"/>
    <w:pPr>
      <w:numPr>
        <w:numId w:val="10"/>
      </w:numPr>
    </w:pPr>
  </w:style>
  <w:style w:type="paragraph" w:styleId="PlainText">
    <w:name w:val="Plain Text"/>
    <w:basedOn w:val="Normal"/>
    <w:link w:val="PlainTextChar"/>
    <w:rsid w:val="00113E15"/>
    <w:rPr>
      <w:sz w:val="20"/>
    </w:rPr>
  </w:style>
  <w:style w:type="character" w:customStyle="1" w:styleId="PlainTextChar">
    <w:name w:val="Plain Text Char"/>
    <w:basedOn w:val="DefaultParagraphFont"/>
    <w:link w:val="PlainText"/>
    <w:rsid w:val="00113E15"/>
    <w:rPr>
      <w:rFonts w:ascii="Courier New" w:eastAsia="Times New Roman" w:hAnsi="Courier New" w:cs="Times New Roman"/>
      <w:sz w:val="20"/>
      <w:szCs w:val="20"/>
      <w:lang w:eastAsia="en-US"/>
    </w:rPr>
  </w:style>
  <w:style w:type="character" w:customStyle="1" w:styleId="MenuOption">
    <w:name w:val="Menu Option"/>
    <w:basedOn w:val="DefaultParagraphFont"/>
    <w:rsid w:val="00113E15"/>
    <w:rPr>
      <w:b/>
      <w:smallCaps/>
    </w:rPr>
  </w:style>
  <w:style w:type="paragraph" w:customStyle="1" w:styleId="TableListNumber">
    <w:name w:val="Table List Number"/>
    <w:basedOn w:val="ListNumber"/>
    <w:rsid w:val="00113E15"/>
    <w:pPr>
      <w:numPr>
        <w:numId w:val="0"/>
      </w:numPr>
    </w:pPr>
  </w:style>
  <w:style w:type="paragraph" w:styleId="TOC4">
    <w:name w:val="toc 4"/>
    <w:basedOn w:val="TOCBase"/>
    <w:next w:val="Normal"/>
    <w:semiHidden/>
    <w:rsid w:val="00113E15"/>
    <w:pPr>
      <w:tabs>
        <w:tab w:val="right" w:leader="dot" w:pos="9071"/>
      </w:tabs>
      <w:ind w:left="1701"/>
    </w:pPr>
  </w:style>
  <w:style w:type="paragraph" w:customStyle="1" w:styleId="ListAlpha">
    <w:name w:val="List Alpha"/>
    <w:basedOn w:val="List"/>
    <w:rsid w:val="00113E15"/>
    <w:pPr>
      <w:numPr>
        <w:numId w:val="8"/>
      </w:numPr>
    </w:pPr>
  </w:style>
  <w:style w:type="paragraph" w:customStyle="1" w:styleId="ListAlpha2">
    <w:name w:val="List Alpha 2"/>
    <w:basedOn w:val="List2"/>
    <w:rsid w:val="00113E15"/>
    <w:pPr>
      <w:numPr>
        <w:numId w:val="7"/>
      </w:numPr>
    </w:pPr>
  </w:style>
  <w:style w:type="paragraph" w:styleId="List2">
    <w:name w:val="List 2"/>
    <w:basedOn w:val="BodyText"/>
    <w:rsid w:val="00113E15"/>
    <w:pPr>
      <w:tabs>
        <w:tab w:val="left" w:pos="680"/>
      </w:tabs>
      <w:spacing w:before="60" w:after="60"/>
      <w:ind w:left="680" w:hanging="340"/>
    </w:pPr>
  </w:style>
  <w:style w:type="paragraph" w:styleId="List3">
    <w:name w:val="List 3"/>
    <w:basedOn w:val="BodyText"/>
    <w:rsid w:val="00113E15"/>
    <w:pPr>
      <w:tabs>
        <w:tab w:val="left" w:pos="1021"/>
      </w:tabs>
      <w:spacing w:before="60" w:after="60"/>
      <w:ind w:left="1020" w:hanging="340"/>
    </w:pPr>
  </w:style>
  <w:style w:type="paragraph" w:styleId="List4">
    <w:name w:val="List 4"/>
    <w:basedOn w:val="BodyText"/>
    <w:rsid w:val="00113E15"/>
    <w:pPr>
      <w:tabs>
        <w:tab w:val="left" w:pos="1361"/>
      </w:tabs>
      <w:spacing w:before="60" w:after="60"/>
      <w:ind w:left="1361" w:hanging="340"/>
    </w:pPr>
  </w:style>
  <w:style w:type="paragraph" w:styleId="List5">
    <w:name w:val="List 5"/>
    <w:basedOn w:val="BodyText"/>
    <w:rsid w:val="00113E15"/>
    <w:pPr>
      <w:tabs>
        <w:tab w:val="left" w:pos="1701"/>
      </w:tabs>
      <w:spacing w:before="60" w:after="60"/>
      <w:ind w:left="1701" w:hanging="340"/>
    </w:pPr>
  </w:style>
  <w:style w:type="paragraph" w:styleId="ListBullet3">
    <w:name w:val="List Bullet 3"/>
    <w:basedOn w:val="List3"/>
    <w:rsid w:val="00113E15"/>
    <w:pPr>
      <w:numPr>
        <w:numId w:val="13"/>
      </w:numPr>
      <w:tabs>
        <w:tab w:val="clear" w:pos="1021"/>
      </w:tabs>
      <w:ind w:left="1037" w:hanging="357"/>
    </w:pPr>
  </w:style>
  <w:style w:type="paragraph" w:styleId="ListBullet4">
    <w:name w:val="List Bullet 4"/>
    <w:basedOn w:val="List4"/>
    <w:rsid w:val="00113E15"/>
    <w:pPr>
      <w:numPr>
        <w:numId w:val="2"/>
      </w:numPr>
      <w:tabs>
        <w:tab w:val="clear" w:pos="1361"/>
      </w:tabs>
    </w:pPr>
  </w:style>
  <w:style w:type="paragraph" w:styleId="ListBullet5">
    <w:name w:val="List Bullet 5"/>
    <w:basedOn w:val="List5"/>
    <w:rsid w:val="00113E15"/>
    <w:pPr>
      <w:numPr>
        <w:numId w:val="3"/>
      </w:numPr>
    </w:pPr>
  </w:style>
  <w:style w:type="paragraph" w:styleId="ListContinue2">
    <w:name w:val="List Continue 2"/>
    <w:basedOn w:val="List2"/>
    <w:rsid w:val="00113E15"/>
    <w:pPr>
      <w:ind w:firstLine="0"/>
    </w:pPr>
  </w:style>
  <w:style w:type="paragraph" w:styleId="ListContinue3">
    <w:name w:val="List Continue 3"/>
    <w:basedOn w:val="List3"/>
    <w:rsid w:val="00113E15"/>
    <w:pPr>
      <w:ind w:left="1021" w:firstLine="0"/>
    </w:pPr>
  </w:style>
  <w:style w:type="paragraph" w:styleId="ListContinue4">
    <w:name w:val="List Continue 4"/>
    <w:basedOn w:val="List4"/>
    <w:rsid w:val="00113E15"/>
    <w:pPr>
      <w:ind w:firstLine="0"/>
    </w:pPr>
  </w:style>
  <w:style w:type="paragraph" w:styleId="ListContinue5">
    <w:name w:val="List Continue 5"/>
    <w:basedOn w:val="List5"/>
    <w:rsid w:val="00113E15"/>
    <w:pPr>
      <w:ind w:firstLine="0"/>
    </w:pPr>
  </w:style>
  <w:style w:type="paragraph" w:styleId="ListNumber3">
    <w:name w:val="List Number 3"/>
    <w:basedOn w:val="List3"/>
    <w:rsid w:val="00113E15"/>
    <w:pPr>
      <w:numPr>
        <w:numId w:val="4"/>
      </w:numPr>
    </w:pPr>
  </w:style>
  <w:style w:type="paragraph" w:styleId="ListNumber4">
    <w:name w:val="List Number 4"/>
    <w:basedOn w:val="List4"/>
    <w:rsid w:val="00113E15"/>
    <w:pPr>
      <w:numPr>
        <w:numId w:val="5"/>
      </w:numPr>
    </w:pPr>
  </w:style>
  <w:style w:type="paragraph" w:styleId="ListNumber5">
    <w:name w:val="List Number 5"/>
    <w:basedOn w:val="List5"/>
    <w:rsid w:val="00113E15"/>
    <w:pPr>
      <w:numPr>
        <w:numId w:val="6"/>
      </w:numPr>
    </w:pPr>
  </w:style>
  <w:style w:type="paragraph" w:styleId="BlockText">
    <w:name w:val="Block Text"/>
    <w:basedOn w:val="Normal"/>
    <w:rsid w:val="00113E15"/>
    <w:pPr>
      <w:spacing w:after="120"/>
      <w:ind w:left="1440" w:right="1440"/>
    </w:pPr>
  </w:style>
  <w:style w:type="character" w:customStyle="1" w:styleId="Subscript">
    <w:name w:val="Subscript"/>
    <w:basedOn w:val="DefaultParagraphFont"/>
    <w:rsid w:val="00113E15"/>
    <w:rPr>
      <w:sz w:val="16"/>
      <w:vertAlign w:val="subscript"/>
    </w:rPr>
  </w:style>
  <w:style w:type="character" w:customStyle="1" w:styleId="Superscript">
    <w:name w:val="Superscript"/>
    <w:basedOn w:val="DefaultParagraphFont"/>
    <w:rsid w:val="00113E15"/>
    <w:rPr>
      <w:sz w:val="16"/>
      <w:vertAlign w:val="superscript"/>
    </w:rPr>
  </w:style>
  <w:style w:type="character" w:customStyle="1" w:styleId="Symbols">
    <w:name w:val="Symbols"/>
    <w:basedOn w:val="DefaultParagraphFont"/>
    <w:rsid w:val="00113E15"/>
    <w:rPr>
      <w:rFonts w:ascii="Symbol" w:hAnsi="Symbol"/>
    </w:rPr>
  </w:style>
  <w:style w:type="character" w:customStyle="1" w:styleId="MenuOptions">
    <w:name w:val="Menu Options"/>
    <w:basedOn w:val="DefaultParagraphFont"/>
    <w:rsid w:val="00113E15"/>
    <w:rPr>
      <w:rFonts w:ascii="Arial Narrow" w:hAnsi="Arial Narrow"/>
      <w:smallCaps/>
    </w:rPr>
  </w:style>
  <w:style w:type="character" w:customStyle="1" w:styleId="Buttons">
    <w:name w:val="Buttons"/>
    <w:basedOn w:val="DefaultParagraphFont"/>
    <w:rsid w:val="00113E15"/>
    <w:rPr>
      <w:b/>
    </w:rPr>
  </w:style>
  <w:style w:type="character" w:customStyle="1" w:styleId="Underlined">
    <w:name w:val="Underlined"/>
    <w:basedOn w:val="DefaultParagraphFont"/>
    <w:rsid w:val="00113E15"/>
    <w:rPr>
      <w:u w:val="single"/>
    </w:rPr>
  </w:style>
  <w:style w:type="paragraph" w:customStyle="1" w:styleId="TableBodyTextRight">
    <w:name w:val="Table Body Text Right"/>
    <w:basedOn w:val="TableBodyText"/>
    <w:rsid w:val="00113E15"/>
    <w:pPr>
      <w:widowControl w:val="0"/>
      <w:autoSpaceDE w:val="0"/>
      <w:autoSpaceDN w:val="0"/>
      <w:adjustRightInd w:val="0"/>
      <w:jc w:val="right"/>
    </w:pPr>
    <w:rPr>
      <w:rFonts w:cs="Arial"/>
      <w:szCs w:val="18"/>
    </w:rPr>
  </w:style>
  <w:style w:type="paragraph" w:customStyle="1" w:styleId="CopyrightText">
    <w:name w:val="Copyright Text"/>
    <w:basedOn w:val="BodyText"/>
    <w:rsid w:val="00113E15"/>
    <w:rPr>
      <w:sz w:val="18"/>
    </w:rPr>
  </w:style>
  <w:style w:type="paragraph" w:customStyle="1" w:styleId="BodySmallRight">
    <w:name w:val="Body Small Right"/>
    <w:basedOn w:val="BodyTextRight"/>
    <w:rsid w:val="00113E15"/>
    <w:rPr>
      <w:sz w:val="18"/>
      <w:szCs w:val="18"/>
    </w:rPr>
  </w:style>
  <w:style w:type="paragraph" w:customStyle="1" w:styleId="MarginEdition">
    <w:name w:val="Margin Edition"/>
    <w:basedOn w:val="MarginNote"/>
    <w:rsid w:val="00113E15"/>
    <w:pPr>
      <w:spacing w:before="0" w:after="0"/>
    </w:pPr>
    <w:rPr>
      <w:rFonts w:ascii="Times New Roman" w:hAnsi="Times New Roman"/>
      <w:color w:val="999999"/>
    </w:rPr>
  </w:style>
  <w:style w:type="paragraph" w:customStyle="1" w:styleId="Spacer">
    <w:name w:val="Spacer"/>
    <w:basedOn w:val="Normal"/>
    <w:rsid w:val="00113E15"/>
    <w:rPr>
      <w:sz w:val="2"/>
      <w:szCs w:val="2"/>
    </w:rPr>
  </w:style>
  <w:style w:type="character" w:customStyle="1" w:styleId="Small">
    <w:name w:val="Small"/>
    <w:basedOn w:val="DefaultParagraphFont"/>
    <w:rsid w:val="00113E15"/>
    <w:rPr>
      <w:sz w:val="16"/>
    </w:rPr>
  </w:style>
  <w:style w:type="paragraph" w:customStyle="1" w:styleId="WideTable">
    <w:name w:val="Wide Table"/>
    <w:basedOn w:val="Normal"/>
    <w:rsid w:val="00113E15"/>
    <w:pPr>
      <w:ind w:left="-1418"/>
    </w:pPr>
    <w:rPr>
      <w:sz w:val="2"/>
      <w:szCs w:val="2"/>
    </w:rPr>
  </w:style>
  <w:style w:type="character" w:styleId="PageNumber">
    <w:name w:val="page number"/>
    <w:basedOn w:val="DefaultParagraphFont"/>
    <w:rsid w:val="00113E15"/>
  </w:style>
  <w:style w:type="paragraph" w:styleId="Quote">
    <w:name w:val="Quote"/>
    <w:basedOn w:val="Heading1"/>
    <w:link w:val="QuoteChar"/>
    <w:qFormat/>
    <w:rsid w:val="00113E15"/>
    <w:rPr>
      <w:b w:val="0"/>
      <w:sz w:val="72"/>
      <w:szCs w:val="72"/>
      <w:lang w:val="en-NZ"/>
    </w:rPr>
  </w:style>
  <w:style w:type="character" w:customStyle="1" w:styleId="QuoteChar">
    <w:name w:val="Quote Char"/>
    <w:basedOn w:val="DefaultParagraphFont"/>
    <w:link w:val="Quote"/>
    <w:rsid w:val="00113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E15"/>
    <w:pPr>
      <w:pageBreakBefore/>
    </w:pPr>
  </w:style>
  <w:style w:type="paragraph" w:customStyle="1" w:styleId="Border">
    <w:name w:val="Border"/>
    <w:basedOn w:val="Normal"/>
    <w:qFormat/>
    <w:rsid w:val="00113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E15"/>
    <w:rPr>
      <w:b/>
      <w:bCs/>
      <w:i/>
      <w:iCs/>
      <w:color w:val="auto"/>
    </w:rPr>
  </w:style>
  <w:style w:type="paragraph" w:styleId="IntenseQuote">
    <w:name w:val="Intense Quote"/>
    <w:basedOn w:val="Normal"/>
    <w:next w:val="Normal"/>
    <w:link w:val="IntenseQuoteChar"/>
    <w:uiPriority w:val="30"/>
    <w:qFormat/>
    <w:rsid w:val="00113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E15"/>
    <w:rPr>
      <w:smallCaps/>
      <w:color w:val="auto"/>
      <w:u w:val="single"/>
    </w:rPr>
  </w:style>
  <w:style w:type="character" w:styleId="IntenseReference">
    <w:name w:val="Intense Reference"/>
    <w:basedOn w:val="DefaultParagraphFont"/>
    <w:uiPriority w:val="32"/>
    <w:qFormat/>
    <w:rsid w:val="00113E15"/>
    <w:rPr>
      <w:b/>
      <w:bCs/>
      <w:smallCaps/>
      <w:color w:val="auto"/>
      <w:spacing w:val="5"/>
      <w:u w:val="single"/>
    </w:rPr>
  </w:style>
  <w:style w:type="paragraph" w:customStyle="1" w:styleId="2ColumnHeading">
    <w:name w:val="2Column Heading"/>
    <w:basedOn w:val="BodyText"/>
    <w:qFormat/>
    <w:rsid w:val="00113E15"/>
    <w:pPr>
      <w:spacing w:after="60"/>
      <w:ind w:left="-2268"/>
    </w:pPr>
    <w:rPr>
      <w:b/>
    </w:rPr>
  </w:style>
  <w:style w:type="paragraph" w:customStyle="1" w:styleId="Heading1TOC">
    <w:name w:val="Heading1 TOC"/>
    <w:basedOn w:val="Normal"/>
    <w:qFormat/>
    <w:rsid w:val="00113E15"/>
    <w:pPr>
      <w:spacing w:before="240" w:after="120"/>
    </w:pPr>
    <w:rPr>
      <w:rFonts w:ascii="Times New Roman" w:hAnsi="Times New Roman"/>
      <w:b/>
      <w:sz w:val="32"/>
    </w:rPr>
  </w:style>
  <w:style w:type="paragraph" w:customStyle="1" w:styleId="Heading2TOC">
    <w:name w:val="Heading2 TOC"/>
    <w:basedOn w:val="Normal"/>
    <w:qFormat/>
    <w:rsid w:val="00113E15"/>
    <w:pPr>
      <w:spacing w:before="240" w:after="60"/>
    </w:pPr>
    <w:rPr>
      <w:rFonts w:ascii="Times New Roman" w:hAnsi="Times New Roman"/>
      <w:b/>
      <w:sz w:val="28"/>
    </w:rPr>
  </w:style>
  <w:style w:type="character" w:customStyle="1" w:styleId="Underline">
    <w:name w:val="Underline"/>
    <w:basedOn w:val="DefaultParagraphFont"/>
    <w:qFormat/>
    <w:rsid w:val="00113E15"/>
    <w:rPr>
      <w:u w:val="single"/>
    </w:rPr>
  </w:style>
  <w:style w:type="character" w:customStyle="1" w:styleId="BoldandItalics">
    <w:name w:val="Bold and Italics"/>
    <w:qFormat/>
    <w:rsid w:val="00113E15"/>
    <w:rPr>
      <w:b/>
      <w:i/>
      <w:u w:val="none"/>
    </w:rPr>
  </w:style>
  <w:style w:type="paragraph" w:styleId="BalloonText">
    <w:name w:val="Balloon Text"/>
    <w:basedOn w:val="Normal"/>
    <w:link w:val="BalloonTextChar"/>
    <w:rsid w:val="00113E15"/>
    <w:rPr>
      <w:rFonts w:ascii="Tahoma" w:hAnsi="Tahoma" w:cs="Tahoma"/>
      <w:sz w:val="16"/>
      <w:szCs w:val="16"/>
    </w:rPr>
  </w:style>
  <w:style w:type="character" w:customStyle="1" w:styleId="BalloonTextChar">
    <w:name w:val="Balloon Text Char"/>
    <w:basedOn w:val="DefaultParagraphFont"/>
    <w:link w:val="BalloonText"/>
    <w:rsid w:val="00113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E15"/>
    <w:rPr>
      <w:b/>
      <w:color w:val="660033"/>
      <w:spacing w:val="0"/>
    </w:rPr>
  </w:style>
  <w:style w:type="paragraph" w:customStyle="1" w:styleId="Nameditemlist">
    <w:name w:val="Named item list"/>
    <w:basedOn w:val="BodyText"/>
    <w:qFormat/>
    <w:rsid w:val="00113E15"/>
    <w:pPr>
      <w:tabs>
        <w:tab w:val="left" w:pos="2835"/>
      </w:tabs>
      <w:ind w:left="2835" w:hanging="2835"/>
    </w:pPr>
  </w:style>
  <w:style w:type="paragraph" w:customStyle="1" w:styleId="BodyTextnopadding">
    <w:name w:val="Body Text no padding"/>
    <w:basedOn w:val="BodyText"/>
    <w:qFormat/>
    <w:rsid w:val="00113E15"/>
    <w:pPr>
      <w:spacing w:before="0" w:after="0"/>
    </w:pPr>
  </w:style>
  <w:style w:type="paragraph" w:customStyle="1" w:styleId="BodyTextBold">
    <w:name w:val="Body Text Bold"/>
    <w:basedOn w:val="BodyText"/>
    <w:qFormat/>
    <w:rsid w:val="00113E15"/>
    <w:rPr>
      <w:b/>
    </w:rPr>
  </w:style>
  <w:style w:type="character" w:styleId="Hyperlink">
    <w:name w:val="Hyperlink"/>
    <w:basedOn w:val="DefaultParagraphFont"/>
    <w:uiPriority w:val="99"/>
    <w:unhideWhenUsed/>
    <w:rsid w:val="00560F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7010</Characters>
  <Application>Microsoft Office Word</Application>
  <DocSecurity>0</DocSecurity>
  <Lines>189</Lines>
  <Paragraphs>102</Paragraphs>
  <ScaleCrop>false</ScaleCrop>
  <Company>Author-it Software Corporation Ltd.</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PSPGEN078 Apply complex public sector financial requirements</dc:title>
  <dc:subject>Approved</dc:subject>
  <dc:creator>Public Skills Australia</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