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B86" w:rsidP="000F0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PSPGEN078 Apply complex public sector financial requirements</w:t>
      </w:r>
      <w:r>
        <w:fldChar w:fldCharType="end"/>
      </w:r>
    </w:p>
    <w:p w:rsidR="000F0B86" w:rsidP="000F0B86">
      <w:pPr>
        <w:pStyle w:val="Version"/>
        <w:sectPr w:rsidSect="00D85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B07" w:rsidP="00D85B07">
      <w:pPr>
        <w:pStyle w:val="SuperHeading"/>
      </w:pPr>
      <w:r w:rsidRPr="00D85B07">
        <w:t>Assessment Requirements for PSPGEN078 Apply complex public sector financial requirements</w:t>
      </w:r>
    </w:p>
    <w:p w:rsidR="00000000" w:rsidRPr="00D85B07" w:rsidP="00D85B07">
      <w:pPr>
        <w:pStyle w:val="Heading1"/>
      </w:pPr>
      <w:bookmarkStart w:id="1" w:name="O_820197"/>
      <w:bookmarkEnd w:id="1"/>
      <w:r w:rsidRPr="00D85B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F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07">
            <w:pPr>
              <w:pStyle w:val="TableHeading"/>
              <w:rPr>
                <w:lang w:val="en-NZ"/>
              </w:rPr>
            </w:pPr>
            <w:r w:rsidRPr="00D85B0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07">
            <w:pPr>
              <w:pStyle w:val="TableHeading"/>
              <w:rPr>
                <w:lang w:val="en-NZ"/>
              </w:rPr>
            </w:pPr>
            <w:r w:rsidRPr="00D85B07">
              <w:t>Comments</w:t>
            </w:r>
          </w:p>
        </w:tc>
      </w:tr>
      <w:tr w:rsidTr="000F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07">
            <w:pPr>
              <w:pStyle w:val="BodyText"/>
              <w:rPr>
                <w:lang w:val="en-NZ"/>
              </w:rPr>
            </w:pPr>
            <w:r w:rsidRPr="00D85B0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07" w:rsidP="00D85B07">
            <w:pPr>
              <w:pStyle w:val="BodyText"/>
            </w:pPr>
            <w:r w:rsidRPr="00D85B07">
              <w:t xml:space="preserve">These Assessment Requirements were released in PSP Public Sector Training Package release 1.0 and meet the Standards for Training Packages. </w:t>
            </w:r>
          </w:p>
          <w:p w:rsidR="00000000" w:rsidRPr="00D85B07" w:rsidP="00D85B07">
            <w:pPr>
              <w:pStyle w:val="BodyText"/>
            </w:pPr>
          </w:p>
          <w:p w:rsidR="00000000" w:rsidRPr="00D85B07" w:rsidP="00D85B07">
            <w:pPr>
              <w:pStyle w:val="ListBullet"/>
            </w:pPr>
            <w:r w:rsidRPr="00D85B07">
              <w:t>Assessment Requirements created drawing upon specified assessment information from superseded unit</w:t>
            </w:r>
          </w:p>
        </w:tc>
      </w:tr>
    </w:tbl>
    <w:p w:rsidR="00000000" w:rsidRPr="00D85B07" w:rsidP="00D85B07">
      <w:pPr>
        <w:pStyle w:val="BodyText"/>
      </w:pPr>
    </w:p>
    <w:p w:rsidR="00000000" w:rsidRPr="00D85B07" w:rsidP="00D85B07">
      <w:pPr>
        <w:pStyle w:val="AllowPageBreak"/>
      </w:pPr>
    </w:p>
    <w:p w:rsidR="00000000" w:rsidRPr="00D85B07" w:rsidP="00D85B07">
      <w:pPr>
        <w:pStyle w:val="Heading1"/>
      </w:pPr>
      <w:bookmarkStart w:id="2" w:name="O_820198"/>
      <w:bookmarkEnd w:id="2"/>
      <w:r w:rsidRPr="00D85B07">
        <w:t>Performance Evidence</w:t>
      </w:r>
    </w:p>
    <w:p w:rsidR="00000000" w:rsidRPr="00D85B07" w:rsidP="000F0B86">
      <w:pPr>
        <w:pStyle w:val="BodyText"/>
      </w:pPr>
      <w:r w:rsidRPr="00D85B07">
        <w:t xml:space="preserve">Evidence required to demonstrate competence must satisfy all of the requirements of the elements and performance criteria. If not otherwise specified </w:t>
      </w:r>
      <w:r w:rsidRPr="00D85B07">
        <w:t>the candidate must demonstrate evidence of performance of the following on at least one occasion.</w:t>
      </w:r>
    </w:p>
    <w:p w:rsidR="00000000" w:rsidRPr="00D85B07" w:rsidP="00D85B07">
      <w:pPr>
        <w:pStyle w:val="ListBullet"/>
      </w:pPr>
      <w:r w:rsidRPr="00D85B07">
        <w:t>interpreting complex and formal documents, including legislation, policies, procedures, and accounting standards, and providing advice on their interpretatio</w:t>
      </w:r>
      <w:r w:rsidRPr="00D85B07">
        <w:t>n and application</w:t>
      </w:r>
    </w:p>
    <w:p w:rsidR="00000000" w:rsidRPr="00D85B07" w:rsidP="00D85B07">
      <w:pPr>
        <w:pStyle w:val="ListBullet"/>
      </w:pPr>
      <w:r w:rsidRPr="00D85B07">
        <w:t>adjusting communication to suit different audiences</w:t>
      </w:r>
    </w:p>
    <w:p w:rsidR="00000000" w:rsidRPr="00D85B07" w:rsidP="00D85B07">
      <w:pPr>
        <w:pStyle w:val="ListBullet"/>
      </w:pPr>
      <w:r w:rsidRPr="00D85B07">
        <w:t>preparing reports and policies requiring precision of expression</w:t>
      </w:r>
    </w:p>
    <w:p w:rsidR="00000000" w:rsidRPr="00D85B07" w:rsidP="00D85B07">
      <w:pPr>
        <w:pStyle w:val="ListBullet"/>
      </w:pPr>
      <w:r w:rsidRPr="00D85B07">
        <w:t>setting industry benchmarks and influencing policy</w:t>
      </w:r>
    </w:p>
    <w:p w:rsidR="00000000" w:rsidRPr="00D85B07" w:rsidP="00D85B07">
      <w:pPr>
        <w:pStyle w:val="ListBullet"/>
      </w:pPr>
      <w:r w:rsidRPr="00D85B07">
        <w:t>synthesising and applying information and legislation accessed electro</w:t>
      </w:r>
      <w:r w:rsidRPr="00D85B07">
        <w:t>nically or in hard copy</w:t>
      </w:r>
    </w:p>
    <w:p w:rsidR="00000000" w:rsidRPr="00D85B07" w:rsidP="00D85B07">
      <w:pPr>
        <w:pStyle w:val="ListBullet"/>
      </w:pPr>
      <w:r w:rsidRPr="00D85B07">
        <w:t>applying environmental and work health and safety procedures relating to working in the public sector</w:t>
      </w:r>
    </w:p>
    <w:p w:rsidR="00000000" w:rsidRPr="00D85B07" w:rsidP="00D85B07">
      <w:pPr>
        <w:pStyle w:val="AllowPageBreak"/>
      </w:pPr>
    </w:p>
    <w:p w:rsidR="00000000" w:rsidRPr="00D85B07" w:rsidP="00D85B07">
      <w:pPr>
        <w:pStyle w:val="Heading1"/>
      </w:pPr>
      <w:bookmarkStart w:id="3" w:name="O_820199"/>
      <w:bookmarkEnd w:id="3"/>
      <w:r w:rsidRPr="00D85B07">
        <w:t>Knowledge Evidence</w:t>
      </w:r>
    </w:p>
    <w:p w:rsidR="00000000" w:rsidRPr="00D85B07" w:rsidP="000F0B86">
      <w:pPr>
        <w:pStyle w:val="BodyText"/>
      </w:pPr>
      <w:r w:rsidRPr="00D85B07">
        <w:t>Evidence required to demonstrate competence must satisfy all of the requirements of the elemen</w:t>
      </w:r>
      <w:r w:rsidRPr="00D85B07">
        <w:t>ts and performance criteria. If not otherwise specified the depth of knowledge demonstrated must be appropriate to the job context of the candidate.</w:t>
      </w:r>
    </w:p>
    <w:p w:rsidR="00000000" w:rsidRPr="00D85B07" w:rsidP="00D85B07">
      <w:pPr>
        <w:pStyle w:val="ListBullet"/>
      </w:pPr>
      <w:r w:rsidRPr="00D85B07">
        <w:t>public sector legislation including work health and safety and environment, policies and processes relatin</w:t>
      </w:r>
      <w:r w:rsidRPr="00D85B07">
        <w:t>g to public sector finance</w:t>
      </w:r>
    </w:p>
    <w:p w:rsidR="00000000" w:rsidRPr="00D85B07" w:rsidP="00D85B07">
      <w:pPr>
        <w:pStyle w:val="ListBullet"/>
      </w:pPr>
      <w:r w:rsidRPr="00D85B07">
        <w:t>public sector financial management compliance framework (intimate knowledge) and the relationship of the elements of the framework</w:t>
      </w:r>
    </w:p>
    <w:p w:rsidR="00000000" w:rsidRPr="00D85B07" w:rsidP="00D85B07">
      <w:pPr>
        <w:pStyle w:val="ListBullet"/>
      </w:pPr>
      <w:r w:rsidRPr="00D85B07">
        <w:t>internal control principles and how these have been applied to financial processes</w:t>
      </w:r>
    </w:p>
    <w:p w:rsidR="00000000" w:rsidRPr="00D85B07" w:rsidP="00D85B07">
      <w:pPr>
        <w:pStyle w:val="ListBullet"/>
      </w:pPr>
      <w:r w:rsidRPr="00D85B07">
        <w:t>corporate gover</w:t>
      </w:r>
      <w:r w:rsidRPr="00D85B07">
        <w:t>nance requirements/relationship of financial management compliance framework to organisational structures</w:t>
      </w:r>
    </w:p>
    <w:p w:rsidR="00000000" w:rsidRPr="00D85B07" w:rsidP="00D85B07">
      <w:pPr>
        <w:pStyle w:val="ListBullet"/>
      </w:pPr>
      <w:r w:rsidRPr="00D85B07">
        <w:t>service level agreements</w:t>
      </w:r>
    </w:p>
    <w:p w:rsidR="00000000" w:rsidRPr="00D85B07" w:rsidP="00D85B07">
      <w:pPr>
        <w:pStyle w:val="ListBullet"/>
      </w:pPr>
      <w:r w:rsidRPr="00D85B07">
        <w:t>internal and external reporting requirements</w:t>
      </w:r>
    </w:p>
    <w:p w:rsidR="00000000" w:rsidRPr="00D85B07" w:rsidP="00D85B07">
      <w:pPr>
        <w:pStyle w:val="ListBullet"/>
      </w:pPr>
      <w:r w:rsidRPr="00D85B07">
        <w:t xml:space="preserve">industry and accounting standards </w:t>
      </w:r>
    </w:p>
    <w:p w:rsidR="00000000" w:rsidRPr="00D85B07" w:rsidP="00D85B07">
      <w:pPr>
        <w:pStyle w:val="ListBullet"/>
      </w:pPr>
      <w:r w:rsidRPr="00D85B07">
        <w:t>public sector standards and codes of conduct/</w:t>
      </w:r>
      <w:r w:rsidRPr="00D85B07">
        <w:t>ethics</w:t>
      </w:r>
    </w:p>
    <w:p w:rsidR="00000000" w:rsidRPr="00D85B07" w:rsidP="00D85B07">
      <w:pPr>
        <w:pStyle w:val="AllowPageBreak"/>
      </w:pPr>
    </w:p>
    <w:p w:rsidR="00000000" w:rsidRPr="00D85B07" w:rsidP="00D85B07">
      <w:pPr>
        <w:pStyle w:val="Heading1"/>
      </w:pPr>
      <w:bookmarkStart w:id="4" w:name="O_820200"/>
      <w:bookmarkEnd w:id="4"/>
      <w:r w:rsidRPr="00D85B07">
        <w:t>Assessment Conditions</w:t>
      </w:r>
    </w:p>
    <w:p w:rsidR="00000000" w:rsidRPr="00D85B07" w:rsidP="000F0B86">
      <w:pPr>
        <w:pStyle w:val="BodyText"/>
      </w:pPr>
      <w:r w:rsidRPr="00D85B07">
        <w:t xml:space="preserve">This unit contains no specific industry-mandated assessment conditions. Guidance on suggested and recommended conditions and methods can be found in the Implementation Guide. </w:t>
      </w:r>
    </w:p>
    <w:p w:rsidR="000F0B86" w:rsidP="000F0B86">
      <w:pPr>
        <w:pStyle w:val="BodyText"/>
      </w:pPr>
      <w:r w:rsidRPr="00D85B07">
        <w:t>Assessors must satisfy the NVR/AQTF mandatory competency requirements for assessors.</w:t>
      </w:r>
    </w:p>
    <w:p w:rsidR="00000000" w:rsidRPr="00D85B07" w:rsidP="00D85B07">
      <w:pPr>
        <w:pStyle w:val="Heading1"/>
      </w:pPr>
      <w:bookmarkStart w:id="5" w:name="O_820203"/>
      <w:bookmarkEnd w:id="5"/>
      <w:r w:rsidRPr="00D85B07">
        <w:t>Links</w:t>
      </w:r>
    </w:p>
    <w:p w:rsidR="00000000" w:rsidRPr="00D85B07" w:rsidP="000F0B86">
      <w:pPr>
        <w:pStyle w:val="BodyText"/>
      </w:pPr>
      <w:r w:rsidRPr="00D85B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2D3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5B07" w:rsidP="000F0B86">
      <w:pPr>
        <w:pStyle w:val="BodyText"/>
      </w:pPr>
      <w:r w:rsidRPr="00D85B07">
        <w:t>C</w:t>
      </w:r>
      <w:r w:rsidRPr="00D85B07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2D3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5B07" w:rsidP="000F0B86">
      <w:pPr>
        <w:pStyle w:val="BodyText"/>
      </w:pPr>
      <w:r w:rsidRPr="00D85B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2D3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5B07" w:rsidP="00D85B07"/>
    <w:sectPr w:rsidSect="00D85B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07" w:rsidRPr="000F0B86" w:rsidP="000F0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86" w:rsidP="00D85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0B86" w:rsidP="00D85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0B86" w:rsidP="00D85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B07" w:rsidRPr="000F0B86" w:rsidP="000F0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86" w:rsidRPr="002D2AF8" w:rsidP="00D85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PSPGEN078 Apply complex public sector financial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F0B86" w:rsidP="00D85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2A3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101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B07"/>
  </w:style>
  <w:style w:type="character" w:customStyle="1" w:styleId="Heading1Char">
    <w:name w:val="Heading 1 Char"/>
    <w:basedOn w:val="DefaultParagraphFont"/>
    <w:link w:val="Heading1"/>
    <w:rsid w:val="00D85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B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B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85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5B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5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B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B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B07"/>
    <w:rPr>
      <w:b/>
      <w:spacing w:val="0"/>
    </w:rPr>
  </w:style>
  <w:style w:type="paragraph" w:customStyle="1" w:styleId="SuperTitle">
    <w:name w:val="SuperTitle"/>
    <w:basedOn w:val="Title"/>
    <w:rsid w:val="00D85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B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B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B07"/>
    <w:rPr>
      <w:i/>
    </w:rPr>
  </w:style>
  <w:style w:type="paragraph" w:styleId="Caption">
    <w:name w:val="caption"/>
    <w:basedOn w:val="BodyText"/>
    <w:next w:val="Normal"/>
    <w:qFormat/>
    <w:rsid w:val="00D85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B07"/>
  </w:style>
  <w:style w:type="paragraph" w:styleId="TableofFigures">
    <w:name w:val="table of figures"/>
    <w:basedOn w:val="Normal"/>
    <w:next w:val="Normal"/>
    <w:semiHidden/>
    <w:rsid w:val="00D85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B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5B07"/>
    <w:rPr>
      <w:rFonts w:ascii="Wingdings" w:hAnsi="Wingdings"/>
    </w:rPr>
  </w:style>
  <w:style w:type="character" w:customStyle="1" w:styleId="HotSpot">
    <w:name w:val="HotSpot"/>
    <w:rsid w:val="00D85B07"/>
    <w:rPr>
      <w:color w:val="0033CC"/>
      <w:u w:val="none"/>
    </w:rPr>
  </w:style>
  <w:style w:type="paragraph" w:customStyle="1" w:styleId="BodyTextRight">
    <w:name w:val="Body Text Right"/>
    <w:basedOn w:val="BodyText"/>
    <w:rsid w:val="00D85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B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B07"/>
    <w:rPr>
      <w:sz w:val="32"/>
    </w:rPr>
  </w:style>
  <w:style w:type="paragraph" w:customStyle="1" w:styleId="HeadingProcedure">
    <w:name w:val="Heading Procedure"/>
    <w:basedOn w:val="HeadingBase"/>
    <w:next w:val="Normal"/>
    <w:rsid w:val="00D85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B07"/>
    <w:pPr>
      <w:spacing w:before="60" w:after="60"/>
    </w:pPr>
  </w:style>
  <w:style w:type="paragraph" w:styleId="ListContinue">
    <w:name w:val="List Continue"/>
    <w:basedOn w:val="List"/>
    <w:rsid w:val="00D85B07"/>
    <w:pPr>
      <w:ind w:firstLine="0"/>
    </w:pPr>
  </w:style>
  <w:style w:type="paragraph" w:customStyle="1" w:styleId="ListNote">
    <w:name w:val="List Note"/>
    <w:basedOn w:val="List"/>
    <w:rsid w:val="00D85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B07"/>
    <w:rPr>
      <w:rFonts w:ascii="Courier New" w:hAnsi="Courier New"/>
    </w:rPr>
  </w:style>
  <w:style w:type="paragraph" w:customStyle="1" w:styleId="NoteBullet">
    <w:name w:val="Note Bullet"/>
    <w:basedOn w:val="Note"/>
    <w:rsid w:val="00D85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B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5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B07"/>
    <w:rPr>
      <w:b/>
      <w:smallCaps/>
    </w:rPr>
  </w:style>
  <w:style w:type="paragraph" w:customStyle="1" w:styleId="TableListNumber">
    <w:name w:val="Table List Number"/>
    <w:basedOn w:val="ListNumber"/>
    <w:rsid w:val="00D85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B07"/>
    <w:pPr>
      <w:numPr>
        <w:numId w:val="8"/>
      </w:numPr>
    </w:pPr>
  </w:style>
  <w:style w:type="paragraph" w:customStyle="1" w:styleId="ListAlpha2">
    <w:name w:val="List Alpha 2"/>
    <w:basedOn w:val="List2"/>
    <w:rsid w:val="00D85B07"/>
    <w:pPr>
      <w:numPr>
        <w:numId w:val="7"/>
      </w:numPr>
    </w:pPr>
  </w:style>
  <w:style w:type="paragraph" w:styleId="List2">
    <w:name w:val="List 2"/>
    <w:basedOn w:val="BodyText"/>
    <w:rsid w:val="00D85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B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B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5B07"/>
    <w:pPr>
      <w:numPr>
        <w:numId w:val="3"/>
      </w:numPr>
    </w:pPr>
  </w:style>
  <w:style w:type="paragraph" w:styleId="ListContinue2">
    <w:name w:val="List Continue 2"/>
    <w:basedOn w:val="List2"/>
    <w:rsid w:val="00D85B07"/>
    <w:pPr>
      <w:ind w:firstLine="0"/>
    </w:pPr>
  </w:style>
  <w:style w:type="paragraph" w:styleId="ListContinue3">
    <w:name w:val="List Continue 3"/>
    <w:basedOn w:val="List3"/>
    <w:rsid w:val="00D85B07"/>
    <w:pPr>
      <w:ind w:left="1021" w:firstLine="0"/>
    </w:pPr>
  </w:style>
  <w:style w:type="paragraph" w:styleId="ListContinue4">
    <w:name w:val="List Continue 4"/>
    <w:basedOn w:val="List4"/>
    <w:rsid w:val="00D85B07"/>
    <w:pPr>
      <w:ind w:firstLine="0"/>
    </w:pPr>
  </w:style>
  <w:style w:type="paragraph" w:styleId="ListContinue5">
    <w:name w:val="List Continue 5"/>
    <w:basedOn w:val="List5"/>
    <w:rsid w:val="00D85B07"/>
    <w:pPr>
      <w:ind w:firstLine="0"/>
    </w:pPr>
  </w:style>
  <w:style w:type="paragraph" w:styleId="ListNumber3">
    <w:name w:val="List Number 3"/>
    <w:basedOn w:val="List3"/>
    <w:rsid w:val="00D85B07"/>
    <w:pPr>
      <w:numPr>
        <w:numId w:val="4"/>
      </w:numPr>
    </w:pPr>
  </w:style>
  <w:style w:type="paragraph" w:styleId="ListNumber4">
    <w:name w:val="List Number 4"/>
    <w:basedOn w:val="List4"/>
    <w:rsid w:val="00D85B07"/>
    <w:pPr>
      <w:numPr>
        <w:numId w:val="5"/>
      </w:numPr>
    </w:pPr>
  </w:style>
  <w:style w:type="paragraph" w:styleId="ListNumber5">
    <w:name w:val="List Number 5"/>
    <w:basedOn w:val="List5"/>
    <w:rsid w:val="00D85B07"/>
    <w:pPr>
      <w:numPr>
        <w:numId w:val="6"/>
      </w:numPr>
    </w:pPr>
  </w:style>
  <w:style w:type="paragraph" w:styleId="BlockText">
    <w:name w:val="Block Text"/>
    <w:basedOn w:val="Normal"/>
    <w:rsid w:val="00D85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B07"/>
    <w:rPr>
      <w:sz w:val="16"/>
      <w:vertAlign w:val="superscript"/>
    </w:rPr>
  </w:style>
  <w:style w:type="character" w:customStyle="1" w:styleId="Symbols">
    <w:name w:val="Symbols"/>
    <w:basedOn w:val="DefaultParagraphFont"/>
    <w:rsid w:val="00D85B07"/>
    <w:rPr>
      <w:rFonts w:ascii="Symbol" w:hAnsi="Symbol"/>
    </w:rPr>
  </w:style>
  <w:style w:type="character" w:customStyle="1" w:styleId="MenuOptions">
    <w:name w:val="Menu Options"/>
    <w:basedOn w:val="DefaultParagraphFont"/>
    <w:rsid w:val="00D85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B07"/>
    <w:rPr>
      <w:b/>
    </w:rPr>
  </w:style>
  <w:style w:type="character" w:customStyle="1" w:styleId="Underlined">
    <w:name w:val="Underlined"/>
    <w:basedOn w:val="DefaultParagraphFont"/>
    <w:rsid w:val="00D85B07"/>
    <w:rPr>
      <w:u w:val="single"/>
    </w:rPr>
  </w:style>
  <w:style w:type="paragraph" w:customStyle="1" w:styleId="TableBodyTextRight">
    <w:name w:val="Table Body Text Right"/>
    <w:basedOn w:val="TableBodyText"/>
    <w:rsid w:val="00D85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B07"/>
    <w:rPr>
      <w:sz w:val="18"/>
    </w:rPr>
  </w:style>
  <w:style w:type="paragraph" w:customStyle="1" w:styleId="BodySmallRight">
    <w:name w:val="Body Small Right"/>
    <w:basedOn w:val="BodyTextRight"/>
    <w:rsid w:val="00D85B07"/>
    <w:rPr>
      <w:sz w:val="18"/>
      <w:szCs w:val="18"/>
    </w:rPr>
  </w:style>
  <w:style w:type="paragraph" w:customStyle="1" w:styleId="MarginEdition">
    <w:name w:val="Margin Edition"/>
    <w:basedOn w:val="MarginNote"/>
    <w:rsid w:val="00D85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B07"/>
    <w:rPr>
      <w:sz w:val="2"/>
      <w:szCs w:val="2"/>
    </w:rPr>
  </w:style>
  <w:style w:type="character" w:customStyle="1" w:styleId="Small">
    <w:name w:val="Small"/>
    <w:basedOn w:val="DefaultParagraphFont"/>
    <w:rsid w:val="00D85B07"/>
    <w:rPr>
      <w:sz w:val="16"/>
    </w:rPr>
  </w:style>
  <w:style w:type="paragraph" w:customStyle="1" w:styleId="WideTable">
    <w:name w:val="Wide Table"/>
    <w:basedOn w:val="Normal"/>
    <w:rsid w:val="00D85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B07"/>
  </w:style>
  <w:style w:type="paragraph" w:styleId="Quote">
    <w:name w:val="Quote"/>
    <w:basedOn w:val="Heading1"/>
    <w:link w:val="QuoteChar"/>
    <w:qFormat/>
    <w:rsid w:val="00D85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B07"/>
    <w:pPr>
      <w:pageBreakBefore/>
    </w:pPr>
  </w:style>
  <w:style w:type="paragraph" w:customStyle="1" w:styleId="Border">
    <w:name w:val="Border"/>
    <w:basedOn w:val="Normal"/>
    <w:qFormat/>
    <w:rsid w:val="00D85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B07"/>
    <w:rPr>
      <w:u w:val="single"/>
    </w:rPr>
  </w:style>
  <w:style w:type="character" w:customStyle="1" w:styleId="BoldandItalics">
    <w:name w:val="Bold and Italics"/>
    <w:qFormat/>
    <w:rsid w:val="00D85B07"/>
    <w:rPr>
      <w:b/>
      <w:i/>
      <w:u w:val="none"/>
    </w:rPr>
  </w:style>
  <w:style w:type="paragraph" w:styleId="BalloonText">
    <w:name w:val="Balloon Text"/>
    <w:basedOn w:val="Normal"/>
    <w:link w:val="BalloonTextChar"/>
    <w:rsid w:val="00D85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B07"/>
    <w:pPr>
      <w:spacing w:before="0" w:after="0"/>
    </w:pPr>
  </w:style>
  <w:style w:type="paragraph" w:customStyle="1" w:styleId="BodyTextBold">
    <w:name w:val="Body Text Bold"/>
    <w:basedOn w:val="BodyText"/>
    <w:qFormat/>
    <w:rsid w:val="00D85B07"/>
    <w:rPr>
      <w:b/>
    </w:rPr>
  </w:style>
  <w:style w:type="character" w:styleId="Hyperlink">
    <w:name w:val="Hyperlink"/>
    <w:basedOn w:val="DefaultParagraphFont"/>
    <w:uiPriority w:val="99"/>
    <w:unhideWhenUsed/>
    <w:rsid w:val="000F0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2883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PSPGEN078 Apply complex public sector financial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