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A15" w:rsidP="00832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PSPGEN077 Apply public sector financial policies and processes</w:t>
      </w:r>
      <w:r>
        <w:fldChar w:fldCharType="end"/>
      </w:r>
    </w:p>
    <w:p w:rsidR="00832A15" w:rsidP="00832A15">
      <w:pPr>
        <w:pStyle w:val="Version"/>
        <w:sectPr w:rsidSect="00FF6A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AE0" w:rsidP="00FF6AE0">
      <w:pPr>
        <w:pStyle w:val="SuperHeading"/>
      </w:pPr>
      <w:r w:rsidRPr="00FF6AE0">
        <w:t>PSPGEN077 Apply public sector financial policies and processes</w:t>
      </w:r>
    </w:p>
    <w:p w:rsidR="00000000" w:rsidRPr="00FF6AE0" w:rsidP="00FF6AE0">
      <w:pPr>
        <w:pStyle w:val="Heading1"/>
      </w:pPr>
      <w:bookmarkStart w:id="1" w:name="O_820168"/>
      <w:bookmarkEnd w:id="1"/>
      <w:r w:rsidRPr="00FF6A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32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E0">
            <w:pPr>
              <w:pStyle w:val="TableHeading"/>
              <w:rPr>
                <w:lang w:val="en-NZ"/>
              </w:rPr>
            </w:pPr>
            <w:r w:rsidRPr="00FF6AE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E0">
            <w:pPr>
              <w:pStyle w:val="TableHeading"/>
              <w:rPr>
                <w:lang w:val="en-NZ"/>
              </w:rPr>
            </w:pPr>
            <w:r w:rsidRPr="00FF6AE0">
              <w:t>Comments</w:t>
            </w:r>
          </w:p>
        </w:tc>
      </w:tr>
      <w:tr w:rsidTr="00832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E0">
            <w:pPr>
              <w:pStyle w:val="BodyText"/>
              <w:rPr>
                <w:lang w:val="en-NZ"/>
              </w:rPr>
            </w:pPr>
            <w:r w:rsidRPr="00FF6AE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E0" w:rsidP="00FF6AE0">
            <w:pPr>
              <w:pStyle w:val="BodyText"/>
            </w:pPr>
            <w:r w:rsidRPr="00FF6AE0">
              <w:t xml:space="preserve">This unit was released in PSP Public Sector Training Package release 1.0 and meets the Standards for Training Packages. </w:t>
            </w:r>
          </w:p>
          <w:p w:rsidR="00000000" w:rsidRPr="00FF6AE0" w:rsidP="00FF6AE0">
            <w:pPr>
              <w:pStyle w:val="BodyText"/>
            </w:pPr>
          </w:p>
          <w:p w:rsidR="00000000" w:rsidRPr="00FF6AE0" w:rsidP="00FF6AE0">
            <w:pPr>
              <w:pStyle w:val="BodyText"/>
            </w:pPr>
            <w:r w:rsidRPr="00FF6AE0">
              <w:t>This unit supersedes and is equivalent to PSPFIN501A Apply public sector financial policies and processes.</w:t>
            </w:r>
          </w:p>
          <w:p w:rsidR="00000000" w:rsidRPr="00FF6AE0" w:rsidP="00FF6AE0">
            <w:pPr>
              <w:pStyle w:val="BodyText"/>
            </w:pPr>
          </w:p>
          <w:p w:rsidR="00000000" w:rsidRPr="00FF6AE0" w:rsidP="00FF6AE0">
            <w:pPr>
              <w:pStyle w:val="ListBullet"/>
            </w:pPr>
            <w:r w:rsidRPr="00FF6AE0">
              <w:t>Unit code updated</w:t>
            </w:r>
          </w:p>
          <w:p w:rsidR="00000000" w:rsidRPr="00FF6AE0" w:rsidP="00FF6AE0">
            <w:pPr>
              <w:pStyle w:val="ListBullet"/>
            </w:pPr>
            <w:r w:rsidRPr="00FF6AE0">
              <w:t>Content and formatting updated to comply with new standards</w:t>
            </w:r>
          </w:p>
          <w:p w:rsidR="00000000" w:rsidRPr="00FF6AE0" w:rsidP="00FF6AE0">
            <w:pPr>
              <w:pStyle w:val="ListBullet"/>
            </w:pPr>
            <w:r w:rsidRPr="00FF6AE0">
              <w:t>All PC transitioned from passive to active voice</w:t>
            </w:r>
          </w:p>
        </w:tc>
      </w:tr>
    </w:tbl>
    <w:p w:rsidR="00832A15" w:rsidP="00FF6AE0">
      <w:pPr>
        <w:pStyle w:val="BodyText"/>
      </w:pPr>
    </w:p>
    <w:p w:rsidR="00832A15" w:rsidP="00FF6AE0">
      <w:pPr>
        <w:pStyle w:val="BodyText"/>
      </w:pPr>
    </w:p>
    <w:p w:rsidR="00000000" w:rsidRPr="00FF6AE0" w:rsidP="00FF6AE0">
      <w:pPr>
        <w:pStyle w:val="Heading1"/>
      </w:pPr>
      <w:bookmarkStart w:id="2" w:name="O_820169"/>
      <w:bookmarkEnd w:id="2"/>
      <w:r w:rsidRPr="00FF6AE0">
        <w:t>Application</w:t>
      </w:r>
    </w:p>
    <w:p w:rsidR="00000000" w:rsidRPr="00FF6AE0" w:rsidP="00832A15">
      <w:pPr>
        <w:pStyle w:val="BodyText"/>
      </w:pPr>
      <w:r w:rsidRPr="00FF6AE0">
        <w:t>This unit describes the skills required to have detailed knowledge of the public sector financial framework, a working knowledge of external requirements and the application of these to work in a specialist finance role in the public sector. It</w:t>
      </w:r>
      <w:r w:rsidRPr="00FF6AE0">
        <w:t xml:space="preserve"> includes identifying and implementing public sector requirements for financial services.</w:t>
      </w:r>
    </w:p>
    <w:p w:rsidR="00000000" w:rsidRPr="00FF6AE0" w:rsidP="00832A15">
      <w:pPr>
        <w:pStyle w:val="BodyText"/>
      </w:pPr>
      <w:r w:rsidRPr="00FF6AE0">
        <w:t>This unit applies to those working in the public sector with specialist knowledge of public sector financial framework and its applications.</w:t>
      </w:r>
    </w:p>
    <w:p w:rsidR="00000000" w:rsidRPr="00FF6AE0" w:rsidP="00832A15">
      <w:pPr>
        <w:pStyle w:val="BodyText"/>
      </w:pPr>
      <w:r w:rsidRPr="00FF6AE0">
        <w:t>The skills and knowledg</w:t>
      </w:r>
      <w:r w:rsidRPr="00FF6AE0">
        <w:t>e described in this unit must be applied within the legislative, regulatory and policy environment in which they are carried out. Organisational policies and procedures must be consulted and adhered to.</w:t>
      </w:r>
    </w:p>
    <w:p w:rsidR="00000000" w:rsidRPr="00FF6AE0" w:rsidP="00832A15">
      <w:pPr>
        <w:pStyle w:val="BodyText"/>
      </w:pPr>
      <w:r w:rsidRPr="00FF6AE0">
        <w:t xml:space="preserve">Those undertaking this unit would work autonomously </w:t>
      </w:r>
      <w:r w:rsidRPr="00FF6AE0">
        <w:t>with some supervision of others, performing complex tasks in a familiar context.</w:t>
      </w:r>
    </w:p>
    <w:p w:rsidR="00832A15" w:rsidP="00832A15">
      <w:pPr>
        <w:pStyle w:val="BodyText"/>
      </w:pPr>
      <w:r w:rsidRPr="00FF6AE0">
        <w:t>No licensing, legislative or certification requirements apply to unit at the time of publication.</w:t>
      </w:r>
    </w:p>
    <w:p w:rsidR="00000000" w:rsidRPr="00FF6AE0" w:rsidP="00FF6AE0">
      <w:pPr>
        <w:pStyle w:val="Heading1"/>
      </w:pPr>
      <w:bookmarkStart w:id="3" w:name="O_820171"/>
      <w:bookmarkEnd w:id="3"/>
      <w:r w:rsidRPr="00FF6AE0">
        <w:t>Competency Field</w:t>
      </w:r>
    </w:p>
    <w:p w:rsidR="00000000" w:rsidRPr="00FF6AE0" w:rsidP="00832A15">
      <w:pPr>
        <w:pStyle w:val="BodyText"/>
      </w:pPr>
      <w:r w:rsidRPr="00FF6AE0">
        <w:t>General</w:t>
      </w:r>
    </w:p>
    <w:p w:rsidR="00000000" w:rsidRPr="00FF6AE0" w:rsidP="00FF6AE0">
      <w:pPr>
        <w:pStyle w:val="Heading1"/>
      </w:pPr>
      <w:bookmarkStart w:id="4" w:name="O_820173"/>
      <w:bookmarkEnd w:id="4"/>
      <w:r w:rsidRPr="00FF6AE0">
        <w:t>Elements and Per</w:t>
      </w:r>
      <w:r w:rsidRPr="00FF6AE0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F6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E0">
            <w:pPr>
              <w:pStyle w:val="TableHeading"/>
              <w:rPr>
                <w:lang w:val="en-NZ"/>
              </w:rPr>
            </w:pPr>
            <w:r w:rsidRPr="00FF6AE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E0">
            <w:pPr>
              <w:pStyle w:val="TableHeading"/>
              <w:rPr>
                <w:lang w:val="en-NZ"/>
              </w:rPr>
            </w:pPr>
            <w:r w:rsidRPr="00FF6AE0">
              <w:t>PERFORMANCE CRITERIA</w:t>
            </w:r>
          </w:p>
        </w:tc>
      </w:tr>
      <w:tr w:rsidTr="00FF6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E0">
            <w:pPr>
              <w:pStyle w:val="BodyText"/>
              <w:rPr>
                <w:lang w:val="en-NZ"/>
              </w:rPr>
            </w:pPr>
            <w:r w:rsidRPr="00FF6AE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E0">
            <w:pPr>
              <w:pStyle w:val="BodyText"/>
              <w:rPr>
                <w:lang w:val="en-NZ"/>
              </w:rPr>
            </w:pPr>
            <w:r w:rsidRPr="00FF6AE0">
              <w:t xml:space="preserve">Performance criteria describe the performance needed to demonstrate achievement of the element. Where bold italicised text is used, further information </w:t>
            </w:r>
            <w:r w:rsidRPr="00FF6AE0">
              <w:t>is detailed in the range of conditions section.</w:t>
            </w:r>
          </w:p>
        </w:tc>
      </w:tr>
      <w:tr w:rsidTr="00FF6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E0">
            <w:pPr>
              <w:pStyle w:val="List"/>
              <w:rPr>
                <w:lang w:val="en-NZ"/>
              </w:rPr>
            </w:pPr>
            <w:r w:rsidRPr="00FF6AE0">
              <w:rPr>
                <w:rStyle w:val="SpecialBold"/>
              </w:rPr>
              <w:t>1.</w:t>
            </w:r>
            <w:r w:rsidRPr="00FF6AE0">
              <w:rPr>
                <w:rStyle w:val="SpecialBold"/>
              </w:rPr>
              <w:tab/>
              <w:t>Identify public sector requirements for financial management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E0" w:rsidP="00FF6AE0">
            <w:pPr>
              <w:pStyle w:val="List"/>
            </w:pPr>
            <w:r w:rsidRPr="00FF6AE0">
              <w:t>1.1</w:t>
            </w:r>
            <w:r w:rsidRPr="00FF6AE0">
              <w:tab/>
              <w:t>Identify the elements of the public sector financial management compliance framework as these relate to the organisation and confirm requir</w:t>
            </w:r>
            <w:r w:rsidRPr="00FF6AE0">
              <w:t>ements regarding the application of them.</w:t>
            </w:r>
          </w:p>
          <w:p w:rsidR="00000000" w:rsidRPr="00FF6AE0" w:rsidP="00FF6AE0">
            <w:pPr>
              <w:pStyle w:val="List"/>
            </w:pPr>
            <w:r w:rsidRPr="00FF6AE0">
              <w:t>1.2</w:t>
            </w:r>
            <w:r w:rsidRPr="00FF6AE0">
              <w:tab/>
              <w:t>Identify delegation requirements relating to work functions throughout the organisation.</w:t>
            </w:r>
          </w:p>
          <w:p w:rsidR="00000000" w:rsidRPr="00FF6AE0" w:rsidP="00FF6AE0">
            <w:pPr>
              <w:pStyle w:val="List"/>
            </w:pPr>
            <w:r w:rsidRPr="00FF6AE0">
              <w:t>1.3</w:t>
            </w:r>
            <w:r w:rsidRPr="00FF6AE0">
              <w:tab/>
              <w:t>Identify and clarify internal financial control principles and operational mechanisms within the organisation with se</w:t>
            </w:r>
            <w:r w:rsidRPr="00FF6AE0">
              <w:t>nior finance staff.</w:t>
            </w:r>
          </w:p>
          <w:p w:rsidR="00000000" w:rsidP="00FF6AE0">
            <w:pPr>
              <w:pStyle w:val="List"/>
              <w:rPr>
                <w:lang w:val="en-NZ"/>
              </w:rPr>
            </w:pPr>
            <w:r w:rsidRPr="00FF6AE0">
              <w:t>1.4</w:t>
            </w:r>
            <w:r w:rsidRPr="00FF6AE0">
              <w:tab/>
              <w:t>Locate public sector financial policies and procedures relating to the work role and the organisation and identify the requirements of them.</w:t>
            </w:r>
          </w:p>
        </w:tc>
      </w:tr>
      <w:tr w:rsidTr="00FF6A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E0">
            <w:pPr>
              <w:pStyle w:val="List"/>
              <w:rPr>
                <w:lang w:val="en-NZ"/>
              </w:rPr>
            </w:pPr>
            <w:r w:rsidRPr="00FF6AE0">
              <w:rPr>
                <w:rStyle w:val="SpecialBold"/>
              </w:rPr>
              <w:t>2.</w:t>
            </w:r>
            <w:r w:rsidRPr="00FF6AE0">
              <w:rPr>
                <w:rStyle w:val="SpecialBold"/>
              </w:rPr>
              <w:tab/>
              <w:t>Implement public sector financial management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E0" w:rsidP="00FF6AE0">
            <w:pPr>
              <w:pStyle w:val="List"/>
            </w:pPr>
            <w:r w:rsidRPr="00FF6AE0">
              <w:t>2.1</w:t>
            </w:r>
            <w:r w:rsidRPr="00FF6AE0">
              <w:tab/>
              <w:t>Provide financial service</w:t>
            </w:r>
            <w:r w:rsidRPr="00FF6AE0">
              <w:t>s.</w:t>
            </w:r>
          </w:p>
          <w:p w:rsidR="00000000" w:rsidRPr="00FF6AE0" w:rsidP="00FF6AE0">
            <w:pPr>
              <w:pStyle w:val="List"/>
            </w:pPr>
            <w:r w:rsidRPr="00FF6AE0">
              <w:t>2.2</w:t>
            </w:r>
            <w:r w:rsidRPr="00FF6AE0">
              <w:tab/>
              <w:t>Provide advice, within the limits of responsibility, regarding public sector financial policies and procedures and accounting standards.</w:t>
            </w:r>
          </w:p>
          <w:p w:rsidR="00000000" w:rsidRPr="00FF6AE0" w:rsidP="00FF6AE0">
            <w:pPr>
              <w:pStyle w:val="List"/>
            </w:pPr>
            <w:r w:rsidRPr="00FF6AE0">
              <w:t>2.3</w:t>
            </w:r>
            <w:r w:rsidRPr="00FF6AE0">
              <w:tab/>
              <w:t xml:space="preserve">Develop and review organisational procedures to reflect the requirements of public sector financial policy, </w:t>
            </w:r>
            <w:r w:rsidRPr="00FF6AE0">
              <w:t>guidelines and procedures.</w:t>
            </w:r>
          </w:p>
          <w:p w:rsidR="00000000" w:rsidRPr="00FF6AE0" w:rsidP="00FF6AE0">
            <w:pPr>
              <w:pStyle w:val="List"/>
            </w:pPr>
            <w:r w:rsidRPr="00FF6AE0">
              <w:t>2.4</w:t>
            </w:r>
            <w:r w:rsidRPr="00FF6AE0">
              <w:tab/>
              <w:t>Differentiate levels of delegation, assess work situations and explain and implement delegation requirements relating to functions.</w:t>
            </w:r>
          </w:p>
          <w:p w:rsidR="00000000" w:rsidRPr="00FF6AE0" w:rsidP="00FF6AE0">
            <w:pPr>
              <w:pStyle w:val="List"/>
            </w:pPr>
            <w:r w:rsidRPr="00FF6AE0">
              <w:t>2.5</w:t>
            </w:r>
            <w:r w:rsidRPr="00FF6AE0">
              <w:tab/>
              <w:t>Apply internal control mechanisms within an organisational context.</w:t>
            </w:r>
          </w:p>
        </w:tc>
      </w:tr>
    </w:tbl>
    <w:p w:rsidR="00832A15" w:rsidP="00FF6AE0">
      <w:pPr>
        <w:pStyle w:val="BodyText"/>
      </w:pPr>
    </w:p>
    <w:p w:rsidR="00832A15" w:rsidP="00FF6AE0">
      <w:pPr>
        <w:pStyle w:val="BodyText"/>
      </w:pPr>
    </w:p>
    <w:p w:rsidR="00000000" w:rsidRPr="00FF6AE0" w:rsidP="00FF6AE0">
      <w:pPr>
        <w:pStyle w:val="Heading1"/>
      </w:pPr>
      <w:bookmarkStart w:id="5" w:name="O_820174"/>
      <w:bookmarkEnd w:id="5"/>
      <w:r w:rsidRPr="00FF6AE0">
        <w:t>Foundation Skills</w:t>
      </w:r>
    </w:p>
    <w:p w:rsidR="00000000" w:rsidRPr="00FF6AE0" w:rsidP="00832A15">
      <w:pPr>
        <w:pStyle w:val="BodyText"/>
      </w:pPr>
      <w:r w:rsidRPr="00FF6AE0">
        <w:t>Foundation skills are embedded within the elements and performance criteria of this unit.</w:t>
      </w:r>
    </w:p>
    <w:p w:rsidR="00000000" w:rsidRPr="00FF6AE0" w:rsidP="00FF6AE0">
      <w:pPr>
        <w:pStyle w:val="Heading1"/>
      </w:pPr>
      <w:bookmarkStart w:id="6" w:name="O_820176"/>
      <w:bookmarkEnd w:id="6"/>
      <w:r w:rsidRPr="00FF6AE0">
        <w:t>Unit Mapping Information</w:t>
      </w:r>
    </w:p>
    <w:p w:rsidR="00000000" w:rsidRPr="00FF6AE0" w:rsidP="00832A15">
      <w:pPr>
        <w:pStyle w:val="BodyText"/>
      </w:pPr>
      <w:r w:rsidRPr="00FF6AE0">
        <w:t>This unit supersedes and is equivalent to PSPFIN501A Apply public sector financial policies and processes.</w:t>
      </w:r>
    </w:p>
    <w:p w:rsidR="00000000" w:rsidRPr="00FF6AE0" w:rsidP="00FF6AE0">
      <w:pPr>
        <w:pStyle w:val="Heading1"/>
      </w:pPr>
      <w:bookmarkStart w:id="7" w:name="O_820183"/>
      <w:bookmarkEnd w:id="7"/>
      <w:r w:rsidRPr="00FF6AE0">
        <w:t>Links</w:t>
      </w:r>
    </w:p>
    <w:p w:rsidR="00000000" w:rsidRPr="00FF6AE0" w:rsidP="00832A15">
      <w:pPr>
        <w:pStyle w:val="BodyText"/>
      </w:pPr>
      <w:r w:rsidRPr="00FF6A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2EE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6AE0" w:rsidP="00832A15">
      <w:pPr>
        <w:pStyle w:val="BodyText"/>
      </w:pPr>
      <w:r w:rsidRPr="00FF6A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2EE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6AE0" w:rsidP="00832A15">
      <w:pPr>
        <w:pStyle w:val="BodyText"/>
      </w:pPr>
      <w:r w:rsidRPr="00FF6A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2EE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6AE0" w:rsidP="00832A15">
      <w:pPr>
        <w:pStyle w:val="BodyText"/>
      </w:pPr>
      <w:r w:rsidRPr="00FF6AE0">
        <w:t>Companion Volume implementation guides are found i</w:t>
      </w:r>
      <w:r w:rsidRPr="00FF6AE0">
        <w:t xml:space="preserve">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2EE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6AE0" w:rsidP="00FF6AE0"/>
    <w:sectPr w:rsidSect="00FF6A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E0" w:rsidRPr="00832A15" w:rsidP="00832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15" w:rsidP="00FF6A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A15" w:rsidP="00FF6A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2A15" w:rsidP="00FF6A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AE0" w:rsidRPr="00832A15" w:rsidP="00832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15" w:rsidRPr="002D2AF8" w:rsidP="00FF6A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PSPGEN077 Apply public sector financial policies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32A15" w:rsidP="00FF6A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8E6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5045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A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A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A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A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A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A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A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A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A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A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A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AE0"/>
  </w:style>
  <w:style w:type="character" w:customStyle="1" w:styleId="Heading1Char">
    <w:name w:val="Heading 1 Char"/>
    <w:basedOn w:val="DefaultParagraphFont"/>
    <w:link w:val="Heading1"/>
    <w:rsid w:val="00FF6A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A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A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6A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A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AE0"/>
    <w:rPr>
      <w:b/>
      <w:spacing w:val="0"/>
    </w:rPr>
  </w:style>
  <w:style w:type="paragraph" w:customStyle="1" w:styleId="SuperHeading">
    <w:name w:val="SuperHeading"/>
    <w:basedOn w:val="Normal"/>
    <w:rsid w:val="00FF6A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6A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6A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A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A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A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A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A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A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A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A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A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A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A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A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A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A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6A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A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A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A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A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A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A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A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A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A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A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A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A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A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AE0"/>
    <w:rPr>
      <w:i/>
    </w:rPr>
  </w:style>
  <w:style w:type="paragraph" w:styleId="Caption">
    <w:name w:val="caption"/>
    <w:basedOn w:val="BodyText"/>
    <w:next w:val="Normal"/>
    <w:qFormat/>
    <w:rsid w:val="00FF6A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A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A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AE0"/>
  </w:style>
  <w:style w:type="paragraph" w:styleId="TableofFigures">
    <w:name w:val="table of figures"/>
    <w:basedOn w:val="Normal"/>
    <w:next w:val="Normal"/>
    <w:semiHidden/>
    <w:rsid w:val="00FF6A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A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AE0"/>
    <w:rPr>
      <w:rFonts w:ascii="Wingdings" w:hAnsi="Wingdings"/>
    </w:rPr>
  </w:style>
  <w:style w:type="character" w:customStyle="1" w:styleId="HotSpot">
    <w:name w:val="HotSpot"/>
    <w:rsid w:val="00FF6AE0"/>
    <w:rPr>
      <w:color w:val="0033CC"/>
      <w:u w:val="none"/>
    </w:rPr>
  </w:style>
  <w:style w:type="paragraph" w:customStyle="1" w:styleId="BodyTextRight">
    <w:name w:val="Body Text Right"/>
    <w:basedOn w:val="BodyText"/>
    <w:rsid w:val="00FF6A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A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A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A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A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A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AE0"/>
    <w:rPr>
      <w:sz w:val="32"/>
    </w:rPr>
  </w:style>
  <w:style w:type="paragraph" w:customStyle="1" w:styleId="HeadingProcedure">
    <w:name w:val="Heading Procedure"/>
    <w:basedOn w:val="HeadingBase"/>
    <w:next w:val="Normal"/>
    <w:rsid w:val="00FF6A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AE0"/>
    <w:pPr>
      <w:spacing w:before="60" w:after="60"/>
    </w:pPr>
  </w:style>
  <w:style w:type="paragraph" w:styleId="ListContinue">
    <w:name w:val="List Continue"/>
    <w:basedOn w:val="List"/>
    <w:rsid w:val="00FF6AE0"/>
    <w:pPr>
      <w:ind w:firstLine="0"/>
    </w:pPr>
  </w:style>
  <w:style w:type="paragraph" w:customStyle="1" w:styleId="ListNote">
    <w:name w:val="List Note"/>
    <w:basedOn w:val="List"/>
    <w:rsid w:val="00FF6A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A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A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AE0"/>
    <w:rPr>
      <w:rFonts w:ascii="Courier New" w:hAnsi="Courier New"/>
    </w:rPr>
  </w:style>
  <w:style w:type="paragraph" w:customStyle="1" w:styleId="NoteBullet">
    <w:name w:val="Note Bullet"/>
    <w:basedOn w:val="Note"/>
    <w:rsid w:val="00FF6A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A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A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A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A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A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A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AE0"/>
    <w:rPr>
      <w:b/>
      <w:smallCaps/>
    </w:rPr>
  </w:style>
  <w:style w:type="paragraph" w:customStyle="1" w:styleId="TableListNumber">
    <w:name w:val="Table List Number"/>
    <w:basedOn w:val="ListNumber"/>
    <w:rsid w:val="00FF6A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A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AE0"/>
    <w:pPr>
      <w:numPr>
        <w:numId w:val="8"/>
      </w:numPr>
    </w:pPr>
  </w:style>
  <w:style w:type="paragraph" w:customStyle="1" w:styleId="ListAlpha2">
    <w:name w:val="List Alpha 2"/>
    <w:basedOn w:val="List2"/>
    <w:rsid w:val="00FF6AE0"/>
    <w:pPr>
      <w:numPr>
        <w:numId w:val="7"/>
      </w:numPr>
    </w:pPr>
  </w:style>
  <w:style w:type="paragraph" w:styleId="List2">
    <w:name w:val="List 2"/>
    <w:basedOn w:val="BodyText"/>
    <w:rsid w:val="00FF6A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A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A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A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A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A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AE0"/>
    <w:pPr>
      <w:numPr>
        <w:numId w:val="3"/>
      </w:numPr>
    </w:pPr>
  </w:style>
  <w:style w:type="paragraph" w:styleId="ListContinue2">
    <w:name w:val="List Continue 2"/>
    <w:basedOn w:val="List2"/>
    <w:rsid w:val="00FF6AE0"/>
    <w:pPr>
      <w:ind w:firstLine="0"/>
    </w:pPr>
  </w:style>
  <w:style w:type="paragraph" w:styleId="ListContinue3">
    <w:name w:val="List Continue 3"/>
    <w:basedOn w:val="List3"/>
    <w:rsid w:val="00FF6AE0"/>
    <w:pPr>
      <w:ind w:left="1021" w:firstLine="0"/>
    </w:pPr>
  </w:style>
  <w:style w:type="paragraph" w:styleId="ListContinue4">
    <w:name w:val="List Continue 4"/>
    <w:basedOn w:val="List4"/>
    <w:rsid w:val="00FF6AE0"/>
    <w:pPr>
      <w:ind w:firstLine="0"/>
    </w:pPr>
  </w:style>
  <w:style w:type="paragraph" w:styleId="ListContinue5">
    <w:name w:val="List Continue 5"/>
    <w:basedOn w:val="List5"/>
    <w:rsid w:val="00FF6AE0"/>
    <w:pPr>
      <w:ind w:firstLine="0"/>
    </w:pPr>
  </w:style>
  <w:style w:type="paragraph" w:styleId="ListNumber3">
    <w:name w:val="List Number 3"/>
    <w:basedOn w:val="List3"/>
    <w:rsid w:val="00FF6AE0"/>
    <w:pPr>
      <w:numPr>
        <w:numId w:val="4"/>
      </w:numPr>
    </w:pPr>
  </w:style>
  <w:style w:type="paragraph" w:styleId="ListNumber4">
    <w:name w:val="List Number 4"/>
    <w:basedOn w:val="List4"/>
    <w:rsid w:val="00FF6AE0"/>
    <w:pPr>
      <w:numPr>
        <w:numId w:val="5"/>
      </w:numPr>
    </w:pPr>
  </w:style>
  <w:style w:type="paragraph" w:styleId="ListNumber5">
    <w:name w:val="List Number 5"/>
    <w:basedOn w:val="List5"/>
    <w:rsid w:val="00FF6AE0"/>
    <w:pPr>
      <w:numPr>
        <w:numId w:val="6"/>
      </w:numPr>
    </w:pPr>
  </w:style>
  <w:style w:type="paragraph" w:styleId="BlockText">
    <w:name w:val="Block Text"/>
    <w:basedOn w:val="Normal"/>
    <w:rsid w:val="00FF6A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A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AE0"/>
    <w:rPr>
      <w:sz w:val="16"/>
      <w:vertAlign w:val="superscript"/>
    </w:rPr>
  </w:style>
  <w:style w:type="character" w:customStyle="1" w:styleId="Symbols">
    <w:name w:val="Symbols"/>
    <w:basedOn w:val="DefaultParagraphFont"/>
    <w:rsid w:val="00FF6AE0"/>
    <w:rPr>
      <w:rFonts w:ascii="Symbol" w:hAnsi="Symbol"/>
    </w:rPr>
  </w:style>
  <w:style w:type="character" w:customStyle="1" w:styleId="MenuOptions">
    <w:name w:val="Menu Options"/>
    <w:basedOn w:val="DefaultParagraphFont"/>
    <w:rsid w:val="00FF6A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AE0"/>
    <w:rPr>
      <w:b/>
    </w:rPr>
  </w:style>
  <w:style w:type="character" w:customStyle="1" w:styleId="Underlined">
    <w:name w:val="Underlined"/>
    <w:basedOn w:val="DefaultParagraphFont"/>
    <w:rsid w:val="00FF6AE0"/>
    <w:rPr>
      <w:u w:val="single"/>
    </w:rPr>
  </w:style>
  <w:style w:type="paragraph" w:customStyle="1" w:styleId="TableBodyTextRight">
    <w:name w:val="Table Body Text Right"/>
    <w:basedOn w:val="TableBodyText"/>
    <w:rsid w:val="00FF6A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AE0"/>
    <w:rPr>
      <w:sz w:val="18"/>
    </w:rPr>
  </w:style>
  <w:style w:type="paragraph" w:customStyle="1" w:styleId="BodySmallRight">
    <w:name w:val="Body Small Right"/>
    <w:basedOn w:val="BodyTextRight"/>
    <w:rsid w:val="00FF6AE0"/>
    <w:rPr>
      <w:sz w:val="18"/>
      <w:szCs w:val="18"/>
    </w:rPr>
  </w:style>
  <w:style w:type="paragraph" w:customStyle="1" w:styleId="MarginEdition">
    <w:name w:val="Margin Edition"/>
    <w:basedOn w:val="MarginNote"/>
    <w:rsid w:val="00FF6A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AE0"/>
    <w:rPr>
      <w:sz w:val="2"/>
      <w:szCs w:val="2"/>
    </w:rPr>
  </w:style>
  <w:style w:type="character" w:customStyle="1" w:styleId="Small">
    <w:name w:val="Small"/>
    <w:basedOn w:val="DefaultParagraphFont"/>
    <w:rsid w:val="00FF6AE0"/>
    <w:rPr>
      <w:sz w:val="16"/>
    </w:rPr>
  </w:style>
  <w:style w:type="paragraph" w:customStyle="1" w:styleId="WideTable">
    <w:name w:val="Wide Table"/>
    <w:basedOn w:val="Normal"/>
    <w:rsid w:val="00FF6A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AE0"/>
  </w:style>
  <w:style w:type="paragraph" w:styleId="Quote">
    <w:name w:val="Quote"/>
    <w:basedOn w:val="Heading1"/>
    <w:link w:val="QuoteChar"/>
    <w:qFormat/>
    <w:rsid w:val="00FF6A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A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AE0"/>
    <w:pPr>
      <w:pageBreakBefore/>
    </w:pPr>
  </w:style>
  <w:style w:type="paragraph" w:customStyle="1" w:styleId="Border">
    <w:name w:val="Border"/>
    <w:basedOn w:val="Normal"/>
    <w:qFormat/>
    <w:rsid w:val="00FF6A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A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A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A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A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A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A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AE0"/>
    <w:rPr>
      <w:u w:val="single"/>
    </w:rPr>
  </w:style>
  <w:style w:type="character" w:customStyle="1" w:styleId="BoldandItalics">
    <w:name w:val="Bold and Italics"/>
    <w:qFormat/>
    <w:rsid w:val="00FF6AE0"/>
    <w:rPr>
      <w:b/>
      <w:i/>
      <w:u w:val="none"/>
    </w:rPr>
  </w:style>
  <w:style w:type="paragraph" w:styleId="BalloonText">
    <w:name w:val="Balloon Text"/>
    <w:basedOn w:val="Normal"/>
    <w:link w:val="BalloonTextChar"/>
    <w:rsid w:val="00FF6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A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A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A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A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A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AE0"/>
    <w:pPr>
      <w:spacing w:before="0" w:after="0"/>
    </w:pPr>
  </w:style>
  <w:style w:type="paragraph" w:customStyle="1" w:styleId="BodyTextBold">
    <w:name w:val="Body Text Bold"/>
    <w:basedOn w:val="BodyText"/>
    <w:qFormat/>
    <w:rsid w:val="00FF6AE0"/>
    <w:rPr>
      <w:b/>
    </w:rPr>
  </w:style>
  <w:style w:type="character" w:styleId="Hyperlink">
    <w:name w:val="Hyperlink"/>
    <w:basedOn w:val="DefaultParagraphFont"/>
    <w:uiPriority w:val="99"/>
    <w:unhideWhenUsed/>
    <w:rsid w:val="00832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3780</Characters>
  <Application>Microsoft Office Word</Application>
  <DocSecurity>0</DocSecurity>
  <Lines>114</Lines>
  <Paragraphs>57</Paragraphs>
  <ScaleCrop>false</ScaleCrop>
  <Company>Author-it Software Corporation Ltd.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PSPGEN077 Apply public sector financial policies and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