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697" w:rsidP="00F106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PSPGEN066 Apply government systems</w:t>
      </w:r>
      <w:r>
        <w:fldChar w:fldCharType="end"/>
      </w:r>
    </w:p>
    <w:p w:rsidR="00F10697" w:rsidP="00F10697">
      <w:pPr>
        <w:pStyle w:val="Version"/>
        <w:sectPr w:rsidSect="005F4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8E2" w:rsidP="005F48E2">
      <w:pPr>
        <w:pStyle w:val="SuperHeading"/>
      </w:pPr>
      <w:r w:rsidRPr="005F48E2">
        <w:t>PSPGEN066 Apply government systems</w:t>
      </w:r>
    </w:p>
    <w:p w:rsidR="00000000" w:rsidRPr="005F48E2" w:rsidP="005F48E2">
      <w:pPr>
        <w:pStyle w:val="Heading1"/>
      </w:pPr>
      <w:bookmarkStart w:id="1" w:name="O_816931"/>
      <w:bookmarkEnd w:id="1"/>
      <w:r w:rsidRPr="005F48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1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8E2" w:rsidP="005F48E2">
            <w:pPr>
              <w:pStyle w:val="TableHeading"/>
            </w:pPr>
            <w:r w:rsidRPr="005F48E2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E2">
            <w:pPr>
              <w:pStyle w:val="TableHeading"/>
              <w:rPr>
                <w:lang w:val="en-NZ"/>
              </w:rPr>
            </w:pPr>
            <w:r w:rsidRPr="005F48E2">
              <w:rPr>
                <w:rStyle w:val="SpecialBold"/>
              </w:rPr>
              <w:t>Comments</w:t>
            </w:r>
          </w:p>
        </w:tc>
      </w:tr>
      <w:tr w:rsidTr="00F1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E2">
            <w:pPr>
              <w:pStyle w:val="BodyText"/>
              <w:rPr>
                <w:lang w:val="en-NZ"/>
              </w:rPr>
            </w:pPr>
            <w:r w:rsidRPr="005F48E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8E2" w:rsidP="005F48E2">
            <w:pPr>
              <w:pStyle w:val="BodyText"/>
            </w:pPr>
            <w:r w:rsidRPr="005F48E2">
              <w:t xml:space="preserve">This unit was released in PSP Public Sector Training Package release 1.0 and meets the Standards for Training Packages. </w:t>
            </w:r>
          </w:p>
          <w:p w:rsidR="00000000" w:rsidRPr="005F48E2" w:rsidP="005F48E2">
            <w:pPr>
              <w:pStyle w:val="BodyText"/>
            </w:pPr>
          </w:p>
          <w:p w:rsidR="00000000" w:rsidRPr="005F48E2" w:rsidP="005F48E2">
            <w:pPr>
              <w:pStyle w:val="BodyText"/>
            </w:pPr>
            <w:r w:rsidRPr="005F48E2">
              <w:t>This unit supersedes and is equivalent to PSPGOV601B Apply government systems.</w:t>
            </w:r>
          </w:p>
          <w:p w:rsidR="00000000" w:rsidRPr="005F48E2" w:rsidP="005F48E2">
            <w:pPr>
              <w:pStyle w:val="BodyText"/>
            </w:pPr>
          </w:p>
          <w:p w:rsidR="00000000" w:rsidRPr="005F48E2" w:rsidP="005F48E2">
            <w:pPr>
              <w:pStyle w:val="ListBullet"/>
            </w:pPr>
            <w:r w:rsidRPr="005F48E2">
              <w:t>Unit code up</w:t>
            </w:r>
            <w:r w:rsidRPr="005F48E2">
              <w:t>dated</w:t>
            </w:r>
          </w:p>
          <w:p w:rsidR="00000000" w:rsidRPr="005F48E2" w:rsidP="005F48E2">
            <w:pPr>
              <w:pStyle w:val="ListBullet"/>
            </w:pPr>
            <w:r w:rsidRPr="005F48E2">
              <w:t>Content and formatting updated to comply with new standards</w:t>
            </w:r>
          </w:p>
          <w:p w:rsidR="00000000" w:rsidRPr="005F48E2" w:rsidP="005F48E2">
            <w:pPr>
              <w:pStyle w:val="ListBullet"/>
            </w:pPr>
            <w:r w:rsidRPr="005F48E2">
              <w:t>All PC transitioned from passive to active voice</w:t>
            </w:r>
          </w:p>
        </w:tc>
      </w:tr>
    </w:tbl>
    <w:p w:rsidR="00000000" w:rsidRPr="005F48E2" w:rsidP="005F48E2">
      <w:pPr>
        <w:pStyle w:val="BodyText"/>
      </w:pPr>
    </w:p>
    <w:p w:rsidR="00000000" w:rsidRPr="005F48E2" w:rsidP="005F48E2">
      <w:pPr>
        <w:pStyle w:val="AllowPageBreak"/>
      </w:pPr>
    </w:p>
    <w:p w:rsidR="00000000" w:rsidRPr="005F48E2" w:rsidP="005F48E2">
      <w:pPr>
        <w:pStyle w:val="Heading1"/>
      </w:pPr>
      <w:bookmarkStart w:id="2" w:name="O_816932"/>
      <w:bookmarkEnd w:id="2"/>
      <w:r w:rsidRPr="005F48E2">
        <w:t>Application</w:t>
      </w:r>
    </w:p>
    <w:p w:rsidR="00000000" w:rsidRPr="005F48E2" w:rsidP="00F10697">
      <w:pPr>
        <w:pStyle w:val="BodyText"/>
      </w:pPr>
      <w:r w:rsidRPr="005F48E2">
        <w:t>This unit describes the skills required to effectively apply government systems to work in the public sector. It includes applying knowledge of organisational and inter-governmental linkages and political context.</w:t>
      </w:r>
    </w:p>
    <w:p w:rsidR="00000000" w:rsidRPr="005F48E2" w:rsidP="00F10697">
      <w:pPr>
        <w:pStyle w:val="BodyText"/>
      </w:pPr>
      <w:r w:rsidRPr="005F48E2">
        <w:t>This unit applies to those working in gen</w:t>
      </w:r>
      <w:r w:rsidRPr="005F48E2">
        <w:t>eralist and specialist roles within the public sector.</w:t>
      </w:r>
    </w:p>
    <w:p w:rsidR="00000000" w:rsidRPr="005F48E2" w:rsidP="00F10697">
      <w:pPr>
        <w:pStyle w:val="BodyText"/>
      </w:pPr>
      <w:r w:rsidRPr="005F48E2">
        <w:t xml:space="preserve">The skills and knowledge described in this unit must be applied within the legislative, regulatory and policy environment in which they are carried out. Organisational policies and procedures must be </w:t>
      </w:r>
      <w:r w:rsidRPr="005F48E2">
        <w:t>consulted and adhered to.</w:t>
      </w:r>
    </w:p>
    <w:p w:rsidR="00000000" w:rsidRPr="005F48E2" w:rsidP="00F10697">
      <w:pPr>
        <w:pStyle w:val="BodyText"/>
      </w:pPr>
      <w:r w:rsidRPr="005F48E2">
        <w:t>Those undertaking this unit would work independently seeking advice as required, performing complex tasks in a range of familiar and unfamiliar contexts.</w:t>
      </w:r>
    </w:p>
    <w:p w:rsidR="00F10697" w:rsidP="00F10697">
      <w:pPr>
        <w:pStyle w:val="BodyText"/>
      </w:pPr>
      <w:r w:rsidRPr="005F48E2">
        <w:t>No licensing, legislative or certification requirements apply to unit at t</w:t>
      </w:r>
      <w:r w:rsidRPr="005F48E2">
        <w:t>he time of publication.</w:t>
      </w:r>
    </w:p>
    <w:p w:rsidR="00000000" w:rsidRPr="005F48E2" w:rsidP="005F48E2">
      <w:pPr>
        <w:pStyle w:val="Heading1"/>
      </w:pPr>
      <w:bookmarkStart w:id="3" w:name="O_816934"/>
      <w:bookmarkEnd w:id="3"/>
      <w:r w:rsidRPr="005F48E2">
        <w:t>Competency Field</w:t>
      </w:r>
    </w:p>
    <w:p w:rsidR="00000000" w:rsidRPr="005F48E2" w:rsidP="00F10697">
      <w:pPr>
        <w:pStyle w:val="BodyText"/>
      </w:pPr>
      <w:r w:rsidRPr="005F48E2">
        <w:t>General</w:t>
      </w:r>
    </w:p>
    <w:p w:rsidR="00000000" w:rsidRPr="005F48E2" w:rsidP="005F48E2">
      <w:pPr>
        <w:pStyle w:val="Heading1"/>
      </w:pPr>
      <w:bookmarkStart w:id="4" w:name="O_816936"/>
      <w:bookmarkEnd w:id="4"/>
      <w:r w:rsidRPr="005F48E2">
        <w:t>Elements and Performance Criteria</w:t>
      </w:r>
    </w:p>
    <w:tbl>
      <w:tblPr>
        <w:tblW w:w="952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804"/>
      </w:tblGrid>
      <w:tr w:rsidTr="005F48E2">
        <w:tblPrEx>
          <w:tblW w:w="95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E2">
            <w:pPr>
              <w:pStyle w:val="TableHeading"/>
              <w:rPr>
                <w:lang w:val="en-NZ"/>
              </w:rPr>
            </w:pPr>
            <w:r w:rsidRPr="005F48E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E2">
            <w:pPr>
              <w:pStyle w:val="TableHeading"/>
              <w:rPr>
                <w:lang w:val="en-NZ"/>
              </w:rPr>
            </w:pPr>
            <w:r w:rsidRPr="005F48E2">
              <w:t>PERFORMANCE CRITERIA</w:t>
            </w:r>
          </w:p>
        </w:tc>
      </w:tr>
      <w:tr w:rsidTr="005F48E2">
        <w:tblPrEx>
          <w:tblW w:w="95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E2">
            <w:pPr>
              <w:pStyle w:val="BodyText"/>
              <w:rPr>
                <w:lang w:val="en-NZ"/>
              </w:rPr>
            </w:pPr>
            <w:r w:rsidRPr="005F48E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E2">
            <w:pPr>
              <w:pStyle w:val="BodyText"/>
              <w:rPr>
                <w:lang w:val="en-NZ"/>
              </w:rPr>
            </w:pPr>
            <w:r w:rsidRPr="005F48E2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5F48E2">
        <w:tblPrEx>
          <w:tblW w:w="95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E2">
            <w:pPr>
              <w:pStyle w:val="List"/>
              <w:rPr>
                <w:lang w:val="en-NZ"/>
              </w:rPr>
            </w:pPr>
            <w:r w:rsidRPr="005F48E2">
              <w:rPr>
                <w:rStyle w:val="SpecialBold"/>
              </w:rPr>
              <w:t>1.</w:t>
            </w:r>
            <w:r w:rsidRPr="005F48E2">
              <w:rPr>
                <w:rStyle w:val="SpecialBold"/>
              </w:rPr>
              <w:tab/>
              <w:t>Apply knowledge of organisational linkages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8E2" w:rsidP="005F48E2">
            <w:pPr>
              <w:pStyle w:val="List"/>
            </w:pPr>
            <w:r w:rsidRPr="005F48E2">
              <w:t>1.1</w:t>
            </w:r>
            <w:r w:rsidRPr="005F48E2">
              <w:tab/>
              <w:t>Ident</w:t>
            </w:r>
            <w:r w:rsidRPr="005F48E2">
              <w:t>ify organisational linkages between government organisations and with quasi</w:t>
            </w:r>
            <w:r w:rsidRPr="005F48E2">
              <w:noBreakHyphen/>
              <w:t>government organisations and non-government organisations and reassess regularly to maintain currency of information.</w:t>
            </w:r>
          </w:p>
          <w:p w:rsidR="00000000" w:rsidP="005F48E2">
            <w:pPr>
              <w:pStyle w:val="List"/>
              <w:rPr>
                <w:lang w:val="en-NZ"/>
              </w:rPr>
            </w:pPr>
            <w:r w:rsidRPr="005F48E2">
              <w:t>1.2</w:t>
            </w:r>
            <w:r w:rsidRPr="005F48E2">
              <w:tab/>
              <w:t>Use comprehensive and up-to-date knowledge of organisation</w:t>
            </w:r>
            <w:r w:rsidRPr="005F48E2">
              <w:t>al linkages in making decisions, and taking advice and actions.</w:t>
            </w:r>
          </w:p>
        </w:tc>
      </w:tr>
      <w:tr w:rsidTr="005F48E2">
        <w:tblPrEx>
          <w:tblW w:w="95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E2">
            <w:pPr>
              <w:pStyle w:val="List"/>
              <w:rPr>
                <w:lang w:val="en-NZ"/>
              </w:rPr>
            </w:pPr>
            <w:r w:rsidRPr="005F48E2">
              <w:rPr>
                <w:rStyle w:val="SpecialBold"/>
              </w:rPr>
              <w:t>2.</w:t>
            </w:r>
            <w:r w:rsidRPr="005F48E2">
              <w:rPr>
                <w:rStyle w:val="SpecialBold"/>
              </w:rPr>
              <w:tab/>
              <w:t>Apply knowledge of inter-governmental linkages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8E2" w:rsidP="005F48E2">
            <w:pPr>
              <w:pStyle w:val="List"/>
            </w:pPr>
            <w:r w:rsidRPr="005F48E2">
              <w:t>2.1</w:t>
            </w:r>
            <w:r w:rsidRPr="005F48E2">
              <w:tab/>
              <w:t>Identify and reassess linkages between governments regularly to maintain currency of information.</w:t>
            </w:r>
          </w:p>
          <w:p w:rsidR="00000000" w:rsidP="005F48E2">
            <w:pPr>
              <w:pStyle w:val="List"/>
              <w:rPr>
                <w:lang w:val="en-NZ"/>
              </w:rPr>
            </w:pPr>
            <w:r w:rsidRPr="005F48E2">
              <w:t>2.2</w:t>
            </w:r>
            <w:r w:rsidRPr="005F48E2">
              <w:tab/>
              <w:t>Use comprehensive and up-to-date kn</w:t>
            </w:r>
            <w:r w:rsidRPr="005F48E2">
              <w:t>owledge of linkages between governments in making decisions, and taking advice and actions.</w:t>
            </w:r>
          </w:p>
        </w:tc>
      </w:tr>
      <w:tr w:rsidTr="005F48E2">
        <w:tblPrEx>
          <w:tblW w:w="95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E2">
            <w:pPr>
              <w:pStyle w:val="List"/>
              <w:rPr>
                <w:lang w:val="en-NZ"/>
              </w:rPr>
            </w:pPr>
            <w:r w:rsidRPr="005F48E2">
              <w:rPr>
                <w:rStyle w:val="SpecialBold"/>
              </w:rPr>
              <w:t>3.</w:t>
            </w:r>
            <w:r w:rsidRPr="005F48E2">
              <w:rPr>
                <w:rStyle w:val="SpecialBold"/>
              </w:rPr>
              <w:tab/>
              <w:t>Apply knowledge of political context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8E2" w:rsidP="005F48E2">
            <w:pPr>
              <w:pStyle w:val="List"/>
            </w:pPr>
            <w:r w:rsidRPr="005F48E2">
              <w:t>3.1</w:t>
            </w:r>
            <w:r w:rsidRPr="005F48E2">
              <w:tab/>
              <w:t>Source information from inside and outside the organisation, and confirm its authenticity and reliability.</w:t>
            </w:r>
          </w:p>
          <w:p w:rsidR="00000000" w:rsidRPr="005F48E2" w:rsidP="005F48E2">
            <w:pPr>
              <w:pStyle w:val="List"/>
            </w:pPr>
            <w:r w:rsidRPr="005F48E2">
              <w:t>3.2</w:t>
            </w:r>
            <w:r w:rsidRPr="005F48E2">
              <w:tab/>
              <w:t xml:space="preserve">Analyse </w:t>
            </w:r>
            <w:r w:rsidRPr="005F48E2">
              <w:t>the political, social and economic environment and take into account emerging trends, and current and possible future goals of the organisation.</w:t>
            </w:r>
          </w:p>
          <w:p w:rsidR="00000000" w:rsidRPr="005F48E2" w:rsidP="005F48E2">
            <w:pPr>
              <w:pStyle w:val="List"/>
            </w:pPr>
            <w:r w:rsidRPr="005F48E2">
              <w:t>3.3</w:t>
            </w:r>
            <w:r w:rsidRPr="005F48E2">
              <w:tab/>
              <w:t>Reflect comprehensive and up-to-date knowledge of the current political environment in decisions, advice an</w:t>
            </w:r>
            <w:r w:rsidRPr="005F48E2">
              <w:t>d actions taken.</w:t>
            </w:r>
          </w:p>
        </w:tc>
      </w:tr>
    </w:tbl>
    <w:p w:rsidR="00F10697" w:rsidP="005F48E2">
      <w:pPr>
        <w:pStyle w:val="BodyText"/>
      </w:pPr>
    </w:p>
    <w:p w:rsidR="00F10697" w:rsidP="005F48E2">
      <w:pPr>
        <w:pStyle w:val="BodyText"/>
      </w:pPr>
    </w:p>
    <w:p w:rsidR="00000000" w:rsidRPr="005F48E2" w:rsidP="005F48E2">
      <w:pPr>
        <w:pStyle w:val="Heading1"/>
      </w:pPr>
      <w:bookmarkStart w:id="5" w:name="O_816937"/>
      <w:bookmarkEnd w:id="5"/>
      <w:r w:rsidRPr="005F48E2">
        <w:t>Foundation Skills</w:t>
      </w:r>
    </w:p>
    <w:p w:rsidR="00F10697" w:rsidP="00F10697">
      <w:pPr>
        <w:pStyle w:val="BodyText"/>
      </w:pPr>
      <w:r w:rsidRPr="005F48E2">
        <w:t>Foundation skills are embedded within the elements and performance criteria of this unit.</w:t>
      </w:r>
    </w:p>
    <w:p w:rsidR="00000000" w:rsidRPr="005F48E2" w:rsidP="005F48E2">
      <w:pPr>
        <w:pStyle w:val="Heading1"/>
      </w:pPr>
      <w:bookmarkStart w:id="6" w:name="O_816939"/>
      <w:bookmarkEnd w:id="6"/>
      <w:r w:rsidRPr="005F48E2">
        <w:t>Unit Mapping Information</w:t>
      </w:r>
    </w:p>
    <w:p w:rsidR="00000000" w:rsidRPr="005F48E2" w:rsidP="00F10697">
      <w:pPr>
        <w:pStyle w:val="BodyText"/>
      </w:pPr>
      <w:r w:rsidRPr="005F48E2">
        <w:t>This unit supersedes and is equivalent to PSPGOV601B Apply government systems.</w:t>
      </w:r>
    </w:p>
    <w:p w:rsidR="00000000" w:rsidRPr="005F48E2" w:rsidP="005F48E2">
      <w:pPr>
        <w:pStyle w:val="Heading1"/>
      </w:pPr>
      <w:bookmarkStart w:id="7" w:name="O_816946"/>
      <w:bookmarkEnd w:id="7"/>
      <w:r w:rsidRPr="005F48E2">
        <w:t>Links</w:t>
      </w:r>
    </w:p>
    <w:p w:rsidR="00000000" w:rsidRPr="005F48E2" w:rsidP="00F10697">
      <w:pPr>
        <w:pStyle w:val="BodyText"/>
      </w:pPr>
      <w:r w:rsidRPr="005F4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733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48E2" w:rsidP="00F10697">
      <w:pPr>
        <w:pStyle w:val="BodyText"/>
      </w:pPr>
      <w:r w:rsidRPr="005F48E2">
        <w:t>Companio</w:t>
      </w:r>
      <w:r w:rsidRPr="005F48E2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733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48E2" w:rsidP="00F10697">
      <w:pPr>
        <w:pStyle w:val="BodyText"/>
      </w:pPr>
      <w:r w:rsidRPr="005F4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733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48E2" w:rsidP="00F10697">
      <w:pPr>
        <w:pStyle w:val="BodyText"/>
      </w:pPr>
      <w:r w:rsidRPr="005F4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733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48E2" w:rsidP="005F48E2"/>
    <w:sectPr w:rsidSect="005F48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E2" w:rsidRPr="00F10697" w:rsidP="00F106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97" w:rsidP="005F4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697" w:rsidP="005F4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0697" w:rsidP="005F48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8E2" w:rsidRPr="00F10697" w:rsidP="00F106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97" w:rsidRPr="002D2AF8" w:rsidP="005F4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PSPGEN066 Apply government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10697" w:rsidP="005F4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522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5223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8E2"/>
  </w:style>
  <w:style w:type="character" w:customStyle="1" w:styleId="Heading1Char">
    <w:name w:val="Heading 1 Char"/>
    <w:basedOn w:val="DefaultParagraphFont"/>
    <w:link w:val="Heading1"/>
    <w:rsid w:val="005F4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8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8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48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48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8E2"/>
    <w:rPr>
      <w:b/>
      <w:spacing w:val="0"/>
    </w:rPr>
  </w:style>
  <w:style w:type="paragraph" w:customStyle="1" w:styleId="SuperHeading">
    <w:name w:val="SuperHeading"/>
    <w:basedOn w:val="Normal"/>
    <w:rsid w:val="005F48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48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4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8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8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4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48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4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8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8E2"/>
    <w:rPr>
      <w:i/>
    </w:rPr>
  </w:style>
  <w:style w:type="paragraph" w:styleId="Caption">
    <w:name w:val="caption"/>
    <w:basedOn w:val="BodyText"/>
    <w:next w:val="Normal"/>
    <w:qFormat/>
    <w:rsid w:val="005F4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8E2"/>
  </w:style>
  <w:style w:type="paragraph" w:styleId="TableofFigures">
    <w:name w:val="table of figures"/>
    <w:basedOn w:val="Normal"/>
    <w:next w:val="Normal"/>
    <w:semiHidden/>
    <w:rsid w:val="005F4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8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48E2"/>
    <w:rPr>
      <w:rFonts w:ascii="Wingdings" w:hAnsi="Wingdings"/>
    </w:rPr>
  </w:style>
  <w:style w:type="character" w:customStyle="1" w:styleId="HotSpot">
    <w:name w:val="HotSpot"/>
    <w:rsid w:val="005F48E2"/>
    <w:rPr>
      <w:color w:val="0033CC"/>
      <w:u w:val="none"/>
    </w:rPr>
  </w:style>
  <w:style w:type="paragraph" w:customStyle="1" w:styleId="BodyTextRight">
    <w:name w:val="Body Text Right"/>
    <w:basedOn w:val="BodyText"/>
    <w:rsid w:val="005F4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8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8E2"/>
    <w:rPr>
      <w:sz w:val="32"/>
    </w:rPr>
  </w:style>
  <w:style w:type="paragraph" w:customStyle="1" w:styleId="HeadingProcedure">
    <w:name w:val="Heading Procedure"/>
    <w:basedOn w:val="HeadingBase"/>
    <w:next w:val="Normal"/>
    <w:rsid w:val="005F4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8E2"/>
    <w:pPr>
      <w:spacing w:before="60" w:after="60"/>
    </w:pPr>
  </w:style>
  <w:style w:type="paragraph" w:styleId="ListContinue">
    <w:name w:val="List Continue"/>
    <w:basedOn w:val="List"/>
    <w:rsid w:val="005F48E2"/>
    <w:pPr>
      <w:ind w:firstLine="0"/>
    </w:pPr>
  </w:style>
  <w:style w:type="paragraph" w:customStyle="1" w:styleId="ListNote">
    <w:name w:val="List Note"/>
    <w:basedOn w:val="List"/>
    <w:rsid w:val="005F4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8E2"/>
    <w:rPr>
      <w:rFonts w:ascii="Courier New" w:hAnsi="Courier New"/>
    </w:rPr>
  </w:style>
  <w:style w:type="paragraph" w:customStyle="1" w:styleId="NoteBullet">
    <w:name w:val="Note Bullet"/>
    <w:basedOn w:val="Note"/>
    <w:rsid w:val="005F4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8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4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8E2"/>
    <w:rPr>
      <w:b/>
      <w:smallCaps/>
    </w:rPr>
  </w:style>
  <w:style w:type="paragraph" w:customStyle="1" w:styleId="TableListNumber">
    <w:name w:val="Table List Number"/>
    <w:basedOn w:val="ListNumber"/>
    <w:rsid w:val="005F4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8E2"/>
    <w:pPr>
      <w:numPr>
        <w:numId w:val="8"/>
      </w:numPr>
    </w:pPr>
  </w:style>
  <w:style w:type="paragraph" w:customStyle="1" w:styleId="ListAlpha2">
    <w:name w:val="List Alpha 2"/>
    <w:basedOn w:val="List2"/>
    <w:rsid w:val="005F48E2"/>
    <w:pPr>
      <w:numPr>
        <w:numId w:val="7"/>
      </w:numPr>
    </w:pPr>
  </w:style>
  <w:style w:type="paragraph" w:styleId="List2">
    <w:name w:val="List 2"/>
    <w:basedOn w:val="BodyText"/>
    <w:rsid w:val="005F4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8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8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48E2"/>
    <w:pPr>
      <w:numPr>
        <w:numId w:val="3"/>
      </w:numPr>
    </w:pPr>
  </w:style>
  <w:style w:type="paragraph" w:styleId="ListContinue2">
    <w:name w:val="List Continue 2"/>
    <w:basedOn w:val="List2"/>
    <w:rsid w:val="005F48E2"/>
    <w:pPr>
      <w:ind w:firstLine="0"/>
    </w:pPr>
  </w:style>
  <w:style w:type="paragraph" w:styleId="ListContinue3">
    <w:name w:val="List Continue 3"/>
    <w:basedOn w:val="List3"/>
    <w:rsid w:val="005F48E2"/>
    <w:pPr>
      <w:ind w:left="1021" w:firstLine="0"/>
    </w:pPr>
  </w:style>
  <w:style w:type="paragraph" w:styleId="ListContinue4">
    <w:name w:val="List Continue 4"/>
    <w:basedOn w:val="List4"/>
    <w:rsid w:val="005F48E2"/>
    <w:pPr>
      <w:ind w:firstLine="0"/>
    </w:pPr>
  </w:style>
  <w:style w:type="paragraph" w:styleId="ListContinue5">
    <w:name w:val="List Continue 5"/>
    <w:basedOn w:val="List5"/>
    <w:rsid w:val="005F48E2"/>
    <w:pPr>
      <w:ind w:firstLine="0"/>
    </w:pPr>
  </w:style>
  <w:style w:type="paragraph" w:styleId="ListNumber3">
    <w:name w:val="List Number 3"/>
    <w:basedOn w:val="List3"/>
    <w:rsid w:val="005F48E2"/>
    <w:pPr>
      <w:numPr>
        <w:numId w:val="4"/>
      </w:numPr>
    </w:pPr>
  </w:style>
  <w:style w:type="paragraph" w:styleId="ListNumber4">
    <w:name w:val="List Number 4"/>
    <w:basedOn w:val="List4"/>
    <w:rsid w:val="005F48E2"/>
    <w:pPr>
      <w:numPr>
        <w:numId w:val="5"/>
      </w:numPr>
    </w:pPr>
  </w:style>
  <w:style w:type="paragraph" w:styleId="ListNumber5">
    <w:name w:val="List Number 5"/>
    <w:basedOn w:val="List5"/>
    <w:rsid w:val="005F48E2"/>
    <w:pPr>
      <w:numPr>
        <w:numId w:val="6"/>
      </w:numPr>
    </w:pPr>
  </w:style>
  <w:style w:type="paragraph" w:styleId="BlockText">
    <w:name w:val="Block Text"/>
    <w:basedOn w:val="Normal"/>
    <w:rsid w:val="005F4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8E2"/>
    <w:rPr>
      <w:sz w:val="16"/>
      <w:vertAlign w:val="superscript"/>
    </w:rPr>
  </w:style>
  <w:style w:type="character" w:customStyle="1" w:styleId="Symbols">
    <w:name w:val="Symbols"/>
    <w:basedOn w:val="DefaultParagraphFont"/>
    <w:rsid w:val="005F48E2"/>
    <w:rPr>
      <w:rFonts w:ascii="Symbol" w:hAnsi="Symbol"/>
    </w:rPr>
  </w:style>
  <w:style w:type="character" w:customStyle="1" w:styleId="MenuOptions">
    <w:name w:val="Menu Options"/>
    <w:basedOn w:val="DefaultParagraphFont"/>
    <w:rsid w:val="005F4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8E2"/>
    <w:rPr>
      <w:b/>
    </w:rPr>
  </w:style>
  <w:style w:type="character" w:customStyle="1" w:styleId="Underlined">
    <w:name w:val="Underlined"/>
    <w:basedOn w:val="DefaultParagraphFont"/>
    <w:rsid w:val="005F48E2"/>
    <w:rPr>
      <w:u w:val="single"/>
    </w:rPr>
  </w:style>
  <w:style w:type="paragraph" w:customStyle="1" w:styleId="TableBodyTextRight">
    <w:name w:val="Table Body Text Right"/>
    <w:basedOn w:val="TableBodyText"/>
    <w:rsid w:val="005F4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8E2"/>
    <w:rPr>
      <w:sz w:val="18"/>
    </w:rPr>
  </w:style>
  <w:style w:type="paragraph" w:customStyle="1" w:styleId="BodySmallRight">
    <w:name w:val="Body Small Right"/>
    <w:basedOn w:val="BodyTextRight"/>
    <w:rsid w:val="005F48E2"/>
    <w:rPr>
      <w:sz w:val="18"/>
      <w:szCs w:val="18"/>
    </w:rPr>
  </w:style>
  <w:style w:type="paragraph" w:customStyle="1" w:styleId="MarginEdition">
    <w:name w:val="Margin Edition"/>
    <w:basedOn w:val="MarginNote"/>
    <w:rsid w:val="005F4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8E2"/>
    <w:rPr>
      <w:sz w:val="2"/>
      <w:szCs w:val="2"/>
    </w:rPr>
  </w:style>
  <w:style w:type="character" w:customStyle="1" w:styleId="Small">
    <w:name w:val="Small"/>
    <w:basedOn w:val="DefaultParagraphFont"/>
    <w:rsid w:val="005F48E2"/>
    <w:rPr>
      <w:sz w:val="16"/>
    </w:rPr>
  </w:style>
  <w:style w:type="paragraph" w:customStyle="1" w:styleId="WideTable">
    <w:name w:val="Wide Table"/>
    <w:basedOn w:val="Normal"/>
    <w:rsid w:val="005F4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8E2"/>
  </w:style>
  <w:style w:type="paragraph" w:styleId="Quote">
    <w:name w:val="Quote"/>
    <w:basedOn w:val="Heading1"/>
    <w:link w:val="QuoteChar"/>
    <w:qFormat/>
    <w:rsid w:val="005F4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8E2"/>
    <w:pPr>
      <w:pageBreakBefore/>
    </w:pPr>
  </w:style>
  <w:style w:type="paragraph" w:customStyle="1" w:styleId="Border">
    <w:name w:val="Border"/>
    <w:basedOn w:val="Normal"/>
    <w:qFormat/>
    <w:rsid w:val="005F4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8E2"/>
    <w:rPr>
      <w:u w:val="single"/>
    </w:rPr>
  </w:style>
  <w:style w:type="character" w:customStyle="1" w:styleId="BoldandItalics">
    <w:name w:val="Bold and Italics"/>
    <w:qFormat/>
    <w:rsid w:val="005F48E2"/>
    <w:rPr>
      <w:b/>
      <w:i/>
      <w:u w:val="none"/>
    </w:rPr>
  </w:style>
  <w:style w:type="paragraph" w:styleId="BalloonText">
    <w:name w:val="Balloon Text"/>
    <w:basedOn w:val="Normal"/>
    <w:link w:val="BalloonTextChar"/>
    <w:rsid w:val="005F4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8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8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8E2"/>
    <w:pPr>
      <w:spacing w:before="0" w:after="0"/>
    </w:pPr>
  </w:style>
  <w:style w:type="paragraph" w:customStyle="1" w:styleId="BodyTextBold">
    <w:name w:val="Body Text Bold"/>
    <w:basedOn w:val="BodyText"/>
    <w:qFormat/>
    <w:rsid w:val="005F48E2"/>
    <w:rPr>
      <w:b/>
    </w:rPr>
  </w:style>
  <w:style w:type="character" w:styleId="Hyperlink">
    <w:name w:val="Hyperlink"/>
    <w:basedOn w:val="DefaultParagraphFont"/>
    <w:uiPriority w:val="99"/>
    <w:unhideWhenUsed/>
    <w:rsid w:val="00F106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3465</Characters>
  <Application>Microsoft Office Word</Application>
  <DocSecurity>0</DocSecurity>
  <Lines>101</Lines>
  <Paragraphs>56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PSPGEN066 Apply government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