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DCB" w:rsidP="00347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PSPGEN037 Monitor performance and provide feedback</w:t>
      </w:r>
      <w:r>
        <w:fldChar w:fldCharType="end"/>
      </w:r>
    </w:p>
    <w:p w:rsidR="00347DCB" w:rsidP="00347DCB">
      <w:pPr>
        <w:pStyle w:val="Version"/>
        <w:sectPr w:rsidSect="001B1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487" w:rsidP="001B1487">
      <w:pPr>
        <w:pStyle w:val="SuperHeading"/>
      </w:pPr>
      <w:r w:rsidRPr="001B1487">
        <w:t>PSPGEN037 Monitor performance and provide feedback</w:t>
      </w:r>
    </w:p>
    <w:p w:rsidR="00000000" w:rsidRPr="001B1487" w:rsidP="001B1487">
      <w:pPr>
        <w:pStyle w:val="Heading1"/>
      </w:pPr>
      <w:bookmarkStart w:id="1" w:name="O_816309"/>
      <w:bookmarkEnd w:id="1"/>
      <w:r w:rsidRPr="001B14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4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87" w:rsidP="001B1487">
            <w:pPr>
              <w:pStyle w:val="BodyText"/>
            </w:pPr>
            <w:r w:rsidRPr="001B1487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BodyText"/>
              <w:rPr>
                <w:lang w:val="en-NZ"/>
              </w:rPr>
            </w:pPr>
            <w:r w:rsidRPr="001B1487">
              <w:rPr>
                <w:rStyle w:val="SpecialBold"/>
              </w:rPr>
              <w:t>Comments</w:t>
            </w:r>
          </w:p>
        </w:tc>
      </w:tr>
      <w:tr w:rsidTr="0034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BodyText"/>
              <w:rPr>
                <w:lang w:val="en-NZ"/>
              </w:rPr>
            </w:pPr>
            <w:r w:rsidRPr="001B148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87" w:rsidP="001B1487">
            <w:pPr>
              <w:pStyle w:val="BodyText"/>
            </w:pPr>
            <w:r w:rsidRPr="001B1487">
              <w:t xml:space="preserve">This unit was released in PSP Public Sector Training Package release 1.0 and meets the Standards for Training Packages. </w:t>
            </w:r>
          </w:p>
          <w:p w:rsidR="00000000" w:rsidRPr="001B1487" w:rsidP="001B1487">
            <w:pPr>
              <w:pStyle w:val="BodyText"/>
            </w:pPr>
          </w:p>
          <w:p w:rsidR="00000000" w:rsidRPr="001B1487" w:rsidP="001B1487">
            <w:pPr>
              <w:pStyle w:val="BodyText"/>
            </w:pPr>
            <w:r w:rsidRPr="001B1487">
              <w:t xml:space="preserve">This unit supersedes and is equivalent to PSPGOV416A Monitor performance and provide </w:t>
            </w:r>
            <w:r w:rsidRPr="001B1487">
              <w:t>feedback.</w:t>
            </w:r>
          </w:p>
          <w:p w:rsidR="00000000" w:rsidRPr="001B1487" w:rsidP="001B1487">
            <w:pPr>
              <w:pStyle w:val="BodyText"/>
            </w:pPr>
          </w:p>
          <w:p w:rsidR="00000000" w:rsidRPr="001B1487" w:rsidP="001B1487">
            <w:pPr>
              <w:pStyle w:val="ListBullet"/>
            </w:pPr>
            <w:r w:rsidRPr="001B1487">
              <w:t>Unit code updated</w:t>
            </w:r>
          </w:p>
          <w:p w:rsidR="00000000" w:rsidRPr="001B1487" w:rsidP="001B1487">
            <w:pPr>
              <w:pStyle w:val="ListBullet"/>
            </w:pPr>
            <w:r w:rsidRPr="001B1487">
              <w:t>Content and formatting updated to comply with the new standards</w:t>
            </w:r>
          </w:p>
          <w:p w:rsidR="00000000" w:rsidRPr="001B1487" w:rsidP="001B1487">
            <w:pPr>
              <w:pStyle w:val="ListBullet"/>
            </w:pPr>
            <w:r w:rsidRPr="001B1487">
              <w:t>All PC transitioned from passive to active voice</w:t>
            </w:r>
          </w:p>
        </w:tc>
      </w:tr>
    </w:tbl>
    <w:p w:rsidR="00000000" w:rsidRPr="001B1487" w:rsidP="001B1487">
      <w:pPr>
        <w:pStyle w:val="BodyText"/>
      </w:pPr>
    </w:p>
    <w:p w:rsidR="00000000" w:rsidRPr="001B1487" w:rsidP="001B1487">
      <w:pPr>
        <w:pStyle w:val="AllowPageBreak"/>
      </w:pPr>
    </w:p>
    <w:p w:rsidR="00000000" w:rsidRPr="001B1487" w:rsidP="001B1487">
      <w:pPr>
        <w:pStyle w:val="Heading1"/>
      </w:pPr>
      <w:bookmarkStart w:id="2" w:name="O_816310"/>
      <w:bookmarkEnd w:id="2"/>
      <w:r w:rsidRPr="001B1487">
        <w:t>Application</w:t>
      </w:r>
    </w:p>
    <w:p w:rsidR="00000000" w:rsidRPr="001B1487" w:rsidP="00347DCB">
      <w:pPr>
        <w:pStyle w:val="BodyText"/>
      </w:pPr>
      <w:r w:rsidRPr="001B1487">
        <w:t xml:space="preserve">This unit describes the skills required to monitor the work performance of another person and provide feedback. </w:t>
      </w:r>
    </w:p>
    <w:p w:rsidR="00000000" w:rsidRPr="001B1487" w:rsidP="00347DCB">
      <w:pPr>
        <w:pStyle w:val="BodyText"/>
      </w:pPr>
      <w:r w:rsidRPr="001B1487">
        <w:t>This unit applies to those working in generalist and specialist roles within the public sector.</w:t>
      </w:r>
    </w:p>
    <w:p w:rsidR="00000000" w:rsidRPr="001B1487" w:rsidP="00347DCB">
      <w:pPr>
        <w:pStyle w:val="BodyText"/>
      </w:pPr>
      <w:r w:rsidRPr="001B1487">
        <w:t>The skills and knowledge described in this un</w:t>
      </w:r>
      <w:r w:rsidRPr="001B1487">
        <w:t>it must be applied within the legislative, regulatory and policy environment in which they are carried out. Organisational policies and procedures must be consulted and adhered to.</w:t>
      </w:r>
    </w:p>
    <w:p w:rsidR="00000000" w:rsidRPr="001B1487" w:rsidP="00347DCB">
      <w:pPr>
        <w:pStyle w:val="BodyText"/>
      </w:pPr>
      <w:r w:rsidRPr="001B1487">
        <w:t>Those undertaking this unit would work independently, with supervisory res</w:t>
      </w:r>
      <w:r w:rsidRPr="001B1487">
        <w:t>ponsibilities, performing complex tasks in a range of familiar and unfamiliar contexts.</w:t>
      </w:r>
    </w:p>
    <w:p w:rsidR="00347DCB" w:rsidP="00347DCB">
      <w:pPr>
        <w:pStyle w:val="BodyText"/>
      </w:pPr>
      <w:r w:rsidRPr="001B1487">
        <w:t>No licensing, legislative or certification requirements apply to unit at the time of publication.</w:t>
      </w:r>
    </w:p>
    <w:p w:rsidR="00000000" w:rsidRPr="001B1487" w:rsidP="001B1487">
      <w:pPr>
        <w:pStyle w:val="Heading1"/>
      </w:pPr>
      <w:bookmarkStart w:id="3" w:name="O_816312"/>
      <w:bookmarkEnd w:id="3"/>
      <w:r w:rsidRPr="001B1487">
        <w:t>Competency Field</w:t>
      </w:r>
    </w:p>
    <w:p w:rsidR="00000000" w:rsidRPr="001B1487" w:rsidP="00347DCB">
      <w:pPr>
        <w:pStyle w:val="BodyText"/>
      </w:pPr>
      <w:r w:rsidRPr="001B1487">
        <w:t>General</w:t>
      </w:r>
    </w:p>
    <w:p w:rsidR="00000000" w:rsidRPr="001B1487" w:rsidP="001B1487">
      <w:pPr>
        <w:pStyle w:val="Heading1"/>
      </w:pPr>
      <w:bookmarkStart w:id="4" w:name="O_816314"/>
      <w:bookmarkEnd w:id="4"/>
      <w:r w:rsidRPr="001B1487">
        <w:t xml:space="preserve">Elements </w:t>
      </w:r>
      <w:r w:rsidRPr="001B1487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B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TableHeading"/>
              <w:rPr>
                <w:lang w:val="en-NZ"/>
              </w:rPr>
            </w:pPr>
            <w:r w:rsidRPr="001B148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TableHeading"/>
              <w:rPr>
                <w:lang w:val="en-NZ"/>
              </w:rPr>
            </w:pPr>
            <w:r w:rsidRPr="001B1487">
              <w:t>PERFORMANCE CRITERIA</w:t>
            </w:r>
          </w:p>
        </w:tc>
      </w:tr>
      <w:tr w:rsidTr="001B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BodyText"/>
              <w:rPr>
                <w:lang w:val="en-NZ"/>
              </w:rPr>
            </w:pPr>
            <w:r w:rsidRPr="001B148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BodyText"/>
              <w:rPr>
                <w:lang w:val="en-NZ"/>
              </w:rPr>
            </w:pPr>
            <w:r w:rsidRPr="001B1487">
              <w:t xml:space="preserve">Performance criteria describe the performance needed to demonstrate achievement of the element. Where bold italicised text is used, further information </w:t>
            </w:r>
            <w:r w:rsidRPr="001B1487">
              <w:t>is detailed in the range of conditions section.</w:t>
            </w:r>
          </w:p>
        </w:tc>
      </w:tr>
      <w:tr w:rsidTr="001B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List"/>
              <w:rPr>
                <w:lang w:val="en-NZ"/>
              </w:rPr>
            </w:pPr>
            <w:r w:rsidRPr="001B1487">
              <w:rPr>
                <w:rStyle w:val="SpecialBold"/>
              </w:rPr>
              <w:t>1.</w:t>
            </w:r>
            <w:r w:rsidRPr="001B1487">
              <w:rPr>
                <w:rStyle w:val="SpecialBold"/>
              </w:rPr>
              <w:tab/>
              <w:t>Plan for performance monitoring and feedback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87" w:rsidP="001B1487">
            <w:pPr>
              <w:pStyle w:val="List"/>
            </w:pPr>
            <w:r w:rsidRPr="001B1487">
              <w:t>1.1</w:t>
            </w:r>
            <w:r w:rsidRPr="001B1487">
              <w:tab/>
              <w:t>Identify and agree upon standards for performance monitoring in consultation with stakeholders.</w:t>
            </w:r>
          </w:p>
          <w:p w:rsidR="00000000" w:rsidRPr="001B1487" w:rsidP="001B1487">
            <w:pPr>
              <w:pStyle w:val="List"/>
            </w:pPr>
            <w:r w:rsidRPr="001B1487">
              <w:t>1.2</w:t>
            </w:r>
            <w:r w:rsidRPr="001B1487">
              <w:tab/>
              <w:t>Provide agreed standards to the parties directly involv</w:t>
            </w:r>
            <w:r w:rsidRPr="001B1487">
              <w:t>ed in the performance monitoring process.</w:t>
            </w:r>
          </w:p>
          <w:p w:rsidR="00000000" w:rsidP="001B1487">
            <w:pPr>
              <w:pStyle w:val="List"/>
              <w:rPr>
                <w:lang w:val="en-NZ"/>
              </w:rPr>
            </w:pPr>
            <w:r w:rsidRPr="001B1487">
              <w:t>1.3</w:t>
            </w:r>
            <w:r w:rsidRPr="001B1487">
              <w:tab/>
              <w:t>Identify or develop performance monitoring processes and guidelines and provide to the parties directly involved.</w:t>
            </w:r>
          </w:p>
        </w:tc>
      </w:tr>
      <w:tr w:rsidTr="001B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List"/>
              <w:rPr>
                <w:lang w:val="en-NZ"/>
              </w:rPr>
            </w:pPr>
            <w:r w:rsidRPr="001B1487">
              <w:rPr>
                <w:rStyle w:val="SpecialBold"/>
              </w:rPr>
              <w:t>2.</w:t>
            </w:r>
            <w:r w:rsidRPr="001B1487">
              <w:rPr>
                <w:rStyle w:val="SpecialBold"/>
              </w:rPr>
              <w:tab/>
              <w:t>Monitor performance and document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87" w:rsidP="001B1487">
            <w:pPr>
              <w:pStyle w:val="List"/>
            </w:pPr>
            <w:r w:rsidRPr="001B1487">
              <w:t>2.1</w:t>
            </w:r>
            <w:r w:rsidRPr="001B1487">
              <w:tab/>
              <w:t>Gather evidence relating to performance from a</w:t>
            </w:r>
            <w:r w:rsidRPr="001B1487">
              <w:t xml:space="preserve"> range of sources.</w:t>
            </w:r>
          </w:p>
          <w:p w:rsidR="00000000" w:rsidRPr="001B1487" w:rsidP="001B1487">
            <w:pPr>
              <w:pStyle w:val="List"/>
            </w:pPr>
            <w:r w:rsidRPr="001B1487">
              <w:t>2.2</w:t>
            </w:r>
            <w:r w:rsidRPr="001B1487">
              <w:tab/>
              <w:t xml:space="preserve">Assess performance. </w:t>
            </w:r>
          </w:p>
          <w:p w:rsidR="00000000" w:rsidP="001B1487">
            <w:pPr>
              <w:pStyle w:val="List"/>
              <w:rPr>
                <w:lang w:val="en-NZ"/>
              </w:rPr>
            </w:pPr>
            <w:r w:rsidRPr="001B1487">
              <w:t>2.3</w:t>
            </w:r>
            <w:r w:rsidRPr="001B1487">
              <w:tab/>
              <w:t>Discuss and document performance monitoring decisions.</w:t>
            </w:r>
          </w:p>
        </w:tc>
      </w:tr>
      <w:tr w:rsidTr="001B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List"/>
              <w:rPr>
                <w:lang w:val="en-NZ"/>
              </w:rPr>
            </w:pPr>
            <w:r w:rsidRPr="001B1487">
              <w:rPr>
                <w:rStyle w:val="SpecialBold"/>
              </w:rPr>
              <w:t>3.</w:t>
            </w:r>
            <w:r w:rsidRPr="001B1487">
              <w:rPr>
                <w:rStyle w:val="SpecialBold"/>
              </w:rPr>
              <w:tab/>
              <w:t>Provide feedback and determine action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87" w:rsidP="001B1487">
            <w:pPr>
              <w:pStyle w:val="List"/>
            </w:pPr>
            <w:r w:rsidRPr="001B1487">
              <w:t>3.1</w:t>
            </w:r>
            <w:r w:rsidRPr="001B1487">
              <w:tab/>
              <w:t>Provide feedback on the outcome of performance monitoring to the person monitored, and to other personnel a</w:t>
            </w:r>
            <w:r w:rsidRPr="001B1487">
              <w:t>s agreed in the relevant guidelines.</w:t>
            </w:r>
          </w:p>
          <w:p w:rsidR="00000000" w:rsidRPr="001B1487" w:rsidP="001B1487">
            <w:pPr>
              <w:pStyle w:val="List"/>
            </w:pPr>
            <w:r w:rsidRPr="001B1487">
              <w:t>3.2</w:t>
            </w:r>
            <w:r w:rsidRPr="001B1487">
              <w:tab/>
              <w:t xml:space="preserve">Negotiate agreement on follow-up required with the person monitored, and document an action plan. </w:t>
            </w:r>
          </w:p>
          <w:p w:rsidR="00000000" w:rsidRPr="001B1487" w:rsidP="001B1487">
            <w:pPr>
              <w:pStyle w:val="List"/>
            </w:pPr>
            <w:r w:rsidRPr="001B1487">
              <w:t>3.3</w:t>
            </w:r>
            <w:r w:rsidRPr="001B1487">
              <w:tab/>
              <w:t>Prepare reports and take further action if necessary where agreement cannot be reached.</w:t>
            </w:r>
          </w:p>
          <w:p w:rsidR="00000000" w:rsidRPr="001B1487" w:rsidP="001B1487">
            <w:pPr>
              <w:pStyle w:val="List"/>
            </w:pPr>
            <w:r w:rsidRPr="001B1487">
              <w:t>3.4</w:t>
            </w:r>
            <w:r w:rsidRPr="001B1487">
              <w:tab/>
              <w:t>Identify and include</w:t>
            </w:r>
            <w:r w:rsidRPr="001B1487">
              <w:t xml:space="preserve"> learning and development opportunities related to performance standards as required.</w:t>
            </w:r>
          </w:p>
          <w:p w:rsidR="00000000" w:rsidP="001B1487">
            <w:pPr>
              <w:pStyle w:val="List"/>
              <w:rPr>
                <w:lang w:val="en-NZ"/>
              </w:rPr>
            </w:pPr>
            <w:r w:rsidRPr="001B1487">
              <w:t>3.5</w:t>
            </w:r>
            <w:r w:rsidRPr="001B1487">
              <w:tab/>
              <w:t>Use ongoing monitoring to ensure that follow-up occurs in accordance with agreement.</w:t>
            </w:r>
          </w:p>
        </w:tc>
      </w:tr>
      <w:tr w:rsidTr="001B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87">
            <w:pPr>
              <w:pStyle w:val="List"/>
              <w:rPr>
                <w:lang w:val="en-NZ"/>
              </w:rPr>
            </w:pPr>
            <w:r w:rsidRPr="001B1487">
              <w:rPr>
                <w:rStyle w:val="SpecialBold"/>
              </w:rPr>
              <w:t>4.</w:t>
            </w:r>
            <w:r w:rsidRPr="001B1487">
              <w:rPr>
                <w:rStyle w:val="SpecialBold"/>
              </w:rPr>
              <w:tab/>
              <w:t>Review performance monitoring and feedback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87" w:rsidP="001B1487">
            <w:pPr>
              <w:pStyle w:val="List"/>
            </w:pPr>
            <w:r w:rsidRPr="001B1487">
              <w:t>4.1</w:t>
            </w:r>
            <w:r w:rsidRPr="001B1487">
              <w:tab/>
              <w:t xml:space="preserve">Gather information related to </w:t>
            </w:r>
            <w:r w:rsidRPr="001B1487">
              <w:t>the performance monitoring process from all stakeholders.</w:t>
            </w:r>
          </w:p>
          <w:p w:rsidR="00000000" w:rsidRPr="001B1487" w:rsidP="001B1487">
            <w:pPr>
              <w:pStyle w:val="List"/>
            </w:pPr>
            <w:r w:rsidRPr="001B1487">
              <w:t>4.2</w:t>
            </w:r>
            <w:r w:rsidRPr="001B1487">
              <w:tab/>
              <w:t>Review the performance monitoring process and amend if necessary to enhance its validity, reliability, efficiency and fairness.</w:t>
            </w:r>
          </w:p>
        </w:tc>
      </w:tr>
    </w:tbl>
    <w:p w:rsidR="00347DCB" w:rsidP="001B1487">
      <w:pPr>
        <w:pStyle w:val="BodyText"/>
      </w:pPr>
    </w:p>
    <w:p w:rsidR="00347DCB" w:rsidP="001B1487">
      <w:pPr>
        <w:pStyle w:val="BodyText"/>
      </w:pPr>
    </w:p>
    <w:p w:rsidR="00000000" w:rsidRPr="001B1487" w:rsidP="001B1487">
      <w:pPr>
        <w:pStyle w:val="Heading1"/>
      </w:pPr>
      <w:bookmarkStart w:id="5" w:name="O_816315"/>
      <w:bookmarkEnd w:id="5"/>
      <w:r w:rsidRPr="001B1487">
        <w:t>Foundation Skills</w:t>
      </w:r>
    </w:p>
    <w:p w:rsidR="00000000" w:rsidRPr="001B1487" w:rsidP="00347DCB">
      <w:pPr>
        <w:pStyle w:val="BodyText"/>
      </w:pPr>
      <w:r w:rsidRPr="001B1487">
        <w:t>Foundation skills are embedded within the elements and performance criteria of this unit.</w:t>
      </w:r>
    </w:p>
    <w:p w:rsidR="00000000" w:rsidRPr="001B1487" w:rsidP="001B1487">
      <w:pPr>
        <w:pStyle w:val="Heading1"/>
      </w:pPr>
      <w:bookmarkStart w:id="6" w:name="O_816317"/>
      <w:bookmarkEnd w:id="6"/>
      <w:r w:rsidRPr="001B1487">
        <w:t>Unit Mapping Information</w:t>
      </w:r>
    </w:p>
    <w:p w:rsidR="00000000" w:rsidRPr="001B1487" w:rsidP="00347DCB">
      <w:pPr>
        <w:pStyle w:val="BodyText"/>
      </w:pPr>
      <w:r w:rsidRPr="001B1487">
        <w:t>This unit supersedes and is equivalent to PSPGOV416A Monitor performance and provide feedback.</w:t>
      </w:r>
    </w:p>
    <w:p w:rsidR="00000000" w:rsidRPr="001B1487" w:rsidP="001B1487">
      <w:pPr>
        <w:pStyle w:val="Heading1"/>
      </w:pPr>
      <w:bookmarkStart w:id="7" w:name="O_816324"/>
      <w:bookmarkEnd w:id="7"/>
      <w:r w:rsidRPr="001B1487">
        <w:t>Links</w:t>
      </w:r>
    </w:p>
    <w:p w:rsidR="00000000" w:rsidRPr="001B1487" w:rsidP="00347DCB">
      <w:pPr>
        <w:pStyle w:val="BodyText"/>
      </w:pPr>
      <w:r w:rsidRPr="001B1487">
        <w:t>Compan</w:t>
      </w:r>
      <w:r w:rsidRPr="001B1487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D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1487" w:rsidP="00347DCB">
      <w:pPr>
        <w:pStyle w:val="BodyText"/>
      </w:pPr>
      <w:r w:rsidRPr="001B1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D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1487" w:rsidP="00347DCB">
      <w:pPr>
        <w:pStyle w:val="BodyText"/>
      </w:pPr>
      <w:r w:rsidRPr="001B1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D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1487" w:rsidP="00347DCB">
      <w:pPr>
        <w:pStyle w:val="BodyText"/>
      </w:pPr>
      <w:r w:rsidRPr="001B1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D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1487" w:rsidP="001B1487"/>
    <w:sectPr w:rsidSect="001B14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87" w:rsidRPr="00347DCB" w:rsidP="00347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CB" w:rsidP="001B1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DCB" w:rsidP="001B1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7DCB" w:rsidP="001B1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487" w:rsidRPr="00347DCB" w:rsidP="00347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CB" w:rsidRPr="002D2AF8" w:rsidP="001B1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PSPGEN037 Monitor performance and provide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47DCB" w:rsidP="001B1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AC0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3C5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487"/>
  </w:style>
  <w:style w:type="character" w:customStyle="1" w:styleId="Heading1Char">
    <w:name w:val="Heading 1 Char"/>
    <w:basedOn w:val="DefaultParagraphFont"/>
    <w:link w:val="Heading1"/>
    <w:rsid w:val="001B1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4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14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4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487"/>
    <w:rPr>
      <w:b/>
      <w:spacing w:val="0"/>
    </w:rPr>
  </w:style>
  <w:style w:type="paragraph" w:customStyle="1" w:styleId="SuperHeading">
    <w:name w:val="SuperHeading"/>
    <w:basedOn w:val="Normal"/>
    <w:rsid w:val="001B1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14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1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4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1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4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4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487"/>
    <w:rPr>
      <w:i/>
    </w:rPr>
  </w:style>
  <w:style w:type="paragraph" w:styleId="Caption">
    <w:name w:val="caption"/>
    <w:basedOn w:val="BodyText"/>
    <w:next w:val="Normal"/>
    <w:qFormat/>
    <w:rsid w:val="001B1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487"/>
  </w:style>
  <w:style w:type="paragraph" w:styleId="TableofFigures">
    <w:name w:val="table of figures"/>
    <w:basedOn w:val="Normal"/>
    <w:next w:val="Normal"/>
    <w:semiHidden/>
    <w:rsid w:val="001B1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4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487"/>
    <w:rPr>
      <w:rFonts w:ascii="Wingdings" w:hAnsi="Wingdings"/>
    </w:rPr>
  </w:style>
  <w:style w:type="character" w:customStyle="1" w:styleId="HotSpot">
    <w:name w:val="HotSpot"/>
    <w:rsid w:val="001B1487"/>
    <w:rPr>
      <w:color w:val="0033CC"/>
      <w:u w:val="none"/>
    </w:rPr>
  </w:style>
  <w:style w:type="paragraph" w:customStyle="1" w:styleId="BodyTextRight">
    <w:name w:val="Body Text Right"/>
    <w:basedOn w:val="BodyText"/>
    <w:rsid w:val="001B1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4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487"/>
    <w:rPr>
      <w:sz w:val="32"/>
    </w:rPr>
  </w:style>
  <w:style w:type="paragraph" w:customStyle="1" w:styleId="HeadingProcedure">
    <w:name w:val="Heading Procedure"/>
    <w:basedOn w:val="HeadingBase"/>
    <w:next w:val="Normal"/>
    <w:rsid w:val="001B1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487"/>
    <w:pPr>
      <w:spacing w:before="60" w:after="60"/>
    </w:pPr>
  </w:style>
  <w:style w:type="paragraph" w:styleId="ListContinue">
    <w:name w:val="List Continue"/>
    <w:basedOn w:val="List"/>
    <w:rsid w:val="001B1487"/>
    <w:pPr>
      <w:ind w:firstLine="0"/>
    </w:pPr>
  </w:style>
  <w:style w:type="paragraph" w:customStyle="1" w:styleId="ListNote">
    <w:name w:val="List Note"/>
    <w:basedOn w:val="List"/>
    <w:rsid w:val="001B1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487"/>
    <w:rPr>
      <w:rFonts w:ascii="Courier New" w:hAnsi="Courier New"/>
    </w:rPr>
  </w:style>
  <w:style w:type="paragraph" w:customStyle="1" w:styleId="NoteBullet">
    <w:name w:val="Note Bullet"/>
    <w:basedOn w:val="Note"/>
    <w:rsid w:val="001B1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4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487"/>
    <w:rPr>
      <w:b/>
      <w:smallCaps/>
    </w:rPr>
  </w:style>
  <w:style w:type="paragraph" w:customStyle="1" w:styleId="TableListNumber">
    <w:name w:val="Table List Number"/>
    <w:basedOn w:val="ListNumber"/>
    <w:rsid w:val="001B1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487"/>
    <w:pPr>
      <w:numPr>
        <w:numId w:val="8"/>
      </w:numPr>
    </w:pPr>
  </w:style>
  <w:style w:type="paragraph" w:customStyle="1" w:styleId="ListAlpha2">
    <w:name w:val="List Alpha 2"/>
    <w:basedOn w:val="List2"/>
    <w:rsid w:val="001B1487"/>
    <w:pPr>
      <w:numPr>
        <w:numId w:val="7"/>
      </w:numPr>
    </w:pPr>
  </w:style>
  <w:style w:type="paragraph" w:styleId="List2">
    <w:name w:val="List 2"/>
    <w:basedOn w:val="BodyText"/>
    <w:rsid w:val="001B1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4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4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487"/>
    <w:pPr>
      <w:numPr>
        <w:numId w:val="3"/>
      </w:numPr>
    </w:pPr>
  </w:style>
  <w:style w:type="paragraph" w:styleId="ListContinue2">
    <w:name w:val="List Continue 2"/>
    <w:basedOn w:val="List2"/>
    <w:rsid w:val="001B1487"/>
    <w:pPr>
      <w:ind w:firstLine="0"/>
    </w:pPr>
  </w:style>
  <w:style w:type="paragraph" w:styleId="ListContinue3">
    <w:name w:val="List Continue 3"/>
    <w:basedOn w:val="List3"/>
    <w:rsid w:val="001B1487"/>
    <w:pPr>
      <w:ind w:left="1021" w:firstLine="0"/>
    </w:pPr>
  </w:style>
  <w:style w:type="paragraph" w:styleId="ListContinue4">
    <w:name w:val="List Continue 4"/>
    <w:basedOn w:val="List4"/>
    <w:rsid w:val="001B1487"/>
    <w:pPr>
      <w:ind w:firstLine="0"/>
    </w:pPr>
  </w:style>
  <w:style w:type="paragraph" w:styleId="ListContinue5">
    <w:name w:val="List Continue 5"/>
    <w:basedOn w:val="List5"/>
    <w:rsid w:val="001B1487"/>
    <w:pPr>
      <w:ind w:firstLine="0"/>
    </w:pPr>
  </w:style>
  <w:style w:type="paragraph" w:styleId="ListNumber3">
    <w:name w:val="List Number 3"/>
    <w:basedOn w:val="List3"/>
    <w:rsid w:val="001B1487"/>
    <w:pPr>
      <w:numPr>
        <w:numId w:val="4"/>
      </w:numPr>
    </w:pPr>
  </w:style>
  <w:style w:type="paragraph" w:styleId="ListNumber4">
    <w:name w:val="List Number 4"/>
    <w:basedOn w:val="List4"/>
    <w:rsid w:val="001B1487"/>
    <w:pPr>
      <w:numPr>
        <w:numId w:val="5"/>
      </w:numPr>
    </w:pPr>
  </w:style>
  <w:style w:type="paragraph" w:styleId="ListNumber5">
    <w:name w:val="List Number 5"/>
    <w:basedOn w:val="List5"/>
    <w:rsid w:val="001B1487"/>
    <w:pPr>
      <w:numPr>
        <w:numId w:val="6"/>
      </w:numPr>
    </w:pPr>
  </w:style>
  <w:style w:type="paragraph" w:styleId="BlockText">
    <w:name w:val="Block Text"/>
    <w:basedOn w:val="Normal"/>
    <w:rsid w:val="001B1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487"/>
    <w:rPr>
      <w:sz w:val="16"/>
      <w:vertAlign w:val="superscript"/>
    </w:rPr>
  </w:style>
  <w:style w:type="character" w:customStyle="1" w:styleId="Symbols">
    <w:name w:val="Symbols"/>
    <w:basedOn w:val="DefaultParagraphFont"/>
    <w:rsid w:val="001B1487"/>
    <w:rPr>
      <w:rFonts w:ascii="Symbol" w:hAnsi="Symbol"/>
    </w:rPr>
  </w:style>
  <w:style w:type="character" w:customStyle="1" w:styleId="MenuOptions">
    <w:name w:val="Menu Options"/>
    <w:basedOn w:val="DefaultParagraphFont"/>
    <w:rsid w:val="001B1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487"/>
    <w:rPr>
      <w:b/>
    </w:rPr>
  </w:style>
  <w:style w:type="character" w:customStyle="1" w:styleId="Underlined">
    <w:name w:val="Underlined"/>
    <w:basedOn w:val="DefaultParagraphFont"/>
    <w:rsid w:val="001B1487"/>
    <w:rPr>
      <w:u w:val="single"/>
    </w:rPr>
  </w:style>
  <w:style w:type="paragraph" w:customStyle="1" w:styleId="TableBodyTextRight">
    <w:name w:val="Table Body Text Right"/>
    <w:basedOn w:val="TableBodyText"/>
    <w:rsid w:val="001B1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487"/>
    <w:rPr>
      <w:sz w:val="18"/>
    </w:rPr>
  </w:style>
  <w:style w:type="paragraph" w:customStyle="1" w:styleId="BodySmallRight">
    <w:name w:val="Body Small Right"/>
    <w:basedOn w:val="BodyTextRight"/>
    <w:rsid w:val="001B1487"/>
    <w:rPr>
      <w:sz w:val="18"/>
      <w:szCs w:val="18"/>
    </w:rPr>
  </w:style>
  <w:style w:type="paragraph" w:customStyle="1" w:styleId="MarginEdition">
    <w:name w:val="Margin Edition"/>
    <w:basedOn w:val="MarginNote"/>
    <w:rsid w:val="001B1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487"/>
    <w:rPr>
      <w:sz w:val="2"/>
      <w:szCs w:val="2"/>
    </w:rPr>
  </w:style>
  <w:style w:type="character" w:customStyle="1" w:styleId="Small">
    <w:name w:val="Small"/>
    <w:basedOn w:val="DefaultParagraphFont"/>
    <w:rsid w:val="001B1487"/>
    <w:rPr>
      <w:sz w:val="16"/>
    </w:rPr>
  </w:style>
  <w:style w:type="paragraph" w:customStyle="1" w:styleId="WideTable">
    <w:name w:val="Wide Table"/>
    <w:basedOn w:val="Normal"/>
    <w:rsid w:val="001B1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487"/>
  </w:style>
  <w:style w:type="paragraph" w:styleId="Quote">
    <w:name w:val="Quote"/>
    <w:basedOn w:val="Heading1"/>
    <w:link w:val="QuoteChar"/>
    <w:qFormat/>
    <w:rsid w:val="001B1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487"/>
    <w:pPr>
      <w:pageBreakBefore/>
    </w:pPr>
  </w:style>
  <w:style w:type="paragraph" w:customStyle="1" w:styleId="Border">
    <w:name w:val="Border"/>
    <w:basedOn w:val="Normal"/>
    <w:qFormat/>
    <w:rsid w:val="001B1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487"/>
    <w:rPr>
      <w:u w:val="single"/>
    </w:rPr>
  </w:style>
  <w:style w:type="character" w:customStyle="1" w:styleId="BoldandItalics">
    <w:name w:val="Bold and Italics"/>
    <w:qFormat/>
    <w:rsid w:val="001B1487"/>
    <w:rPr>
      <w:b/>
      <w:i/>
      <w:u w:val="none"/>
    </w:rPr>
  </w:style>
  <w:style w:type="paragraph" w:styleId="BalloonText">
    <w:name w:val="Balloon Text"/>
    <w:basedOn w:val="Normal"/>
    <w:link w:val="BalloonTextChar"/>
    <w:rsid w:val="001B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487"/>
    <w:pPr>
      <w:spacing w:before="0" w:after="0"/>
    </w:pPr>
  </w:style>
  <w:style w:type="paragraph" w:customStyle="1" w:styleId="BodyTextBold">
    <w:name w:val="Body Text Bold"/>
    <w:basedOn w:val="BodyText"/>
    <w:qFormat/>
    <w:rsid w:val="001B1487"/>
    <w:rPr>
      <w:b/>
    </w:rPr>
  </w:style>
  <w:style w:type="character" w:styleId="Hyperlink">
    <w:name w:val="Hyperlink"/>
    <w:basedOn w:val="DefaultParagraphFont"/>
    <w:uiPriority w:val="99"/>
    <w:unhideWhenUsed/>
    <w:rsid w:val="00347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3711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PSPGEN037 Monitor performance and provide feedback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