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63D" w:rsidP="00E70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PSPGEN024 Use resources to achieve work unit goals</w:t>
      </w:r>
      <w:r>
        <w:fldChar w:fldCharType="end"/>
      </w:r>
    </w:p>
    <w:p w:rsidR="00E7063D" w:rsidP="00E7063D">
      <w:pPr>
        <w:pStyle w:val="Version"/>
        <w:sectPr w:rsidSect="005A4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AD2" w:rsidP="005A4AD2">
      <w:pPr>
        <w:pStyle w:val="SuperHeading"/>
      </w:pPr>
      <w:r w:rsidRPr="005A4AD2">
        <w:t>PSPGEN024 Use resources to achieve work unit goals</w:t>
      </w:r>
    </w:p>
    <w:p w:rsidR="00000000" w:rsidRPr="005A4AD2" w:rsidP="005A4AD2">
      <w:pPr>
        <w:pStyle w:val="Heading1"/>
      </w:pPr>
      <w:bookmarkStart w:id="1" w:name="O_816055"/>
      <w:bookmarkEnd w:id="1"/>
      <w:r w:rsidRPr="005A4A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7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D2" w:rsidP="005A4AD2">
            <w:pPr>
              <w:pStyle w:val="BodyText"/>
            </w:pPr>
            <w:r w:rsidRPr="005A4AD2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BodyText"/>
              <w:rPr>
                <w:lang w:val="en-NZ"/>
              </w:rPr>
            </w:pPr>
            <w:r w:rsidRPr="005A4AD2">
              <w:rPr>
                <w:rStyle w:val="SpecialBold"/>
              </w:rPr>
              <w:t>Comments</w:t>
            </w:r>
          </w:p>
        </w:tc>
      </w:tr>
      <w:tr w:rsidTr="00E7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BodyText"/>
              <w:rPr>
                <w:lang w:val="en-NZ"/>
              </w:rPr>
            </w:pPr>
            <w:r w:rsidRPr="005A4AD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D2" w:rsidP="005A4AD2">
            <w:pPr>
              <w:pStyle w:val="BodyText"/>
            </w:pPr>
            <w:r w:rsidRPr="005A4AD2">
              <w:t xml:space="preserve">This unit was released in PSP Public Sector Training Package release 1.0 and meets the Standards for Training Packages. </w:t>
            </w:r>
          </w:p>
          <w:p w:rsidR="00000000" w:rsidRPr="005A4AD2" w:rsidP="005A4AD2">
            <w:pPr>
              <w:pStyle w:val="BodyText"/>
            </w:pPr>
          </w:p>
          <w:p w:rsidR="00000000" w:rsidRPr="005A4AD2" w:rsidP="005A4AD2">
            <w:pPr>
              <w:pStyle w:val="BodyText"/>
            </w:pPr>
            <w:r w:rsidRPr="005A4AD2">
              <w:t>This unit supersedes and is equivalent to PSPGOV403B Use resources to achieve work un</w:t>
            </w:r>
            <w:r w:rsidRPr="005A4AD2">
              <w:t>it goals.</w:t>
            </w:r>
          </w:p>
          <w:p w:rsidR="00000000" w:rsidRPr="005A4AD2" w:rsidP="005A4AD2">
            <w:pPr>
              <w:pStyle w:val="BodyText"/>
            </w:pPr>
          </w:p>
          <w:p w:rsidR="00000000" w:rsidRPr="005A4AD2" w:rsidP="005A4AD2">
            <w:pPr>
              <w:pStyle w:val="ListBullet"/>
            </w:pPr>
            <w:r w:rsidRPr="005A4AD2">
              <w:t>Unit code updated</w:t>
            </w:r>
          </w:p>
          <w:p w:rsidR="00000000" w:rsidRPr="005A4AD2" w:rsidP="005A4AD2">
            <w:pPr>
              <w:pStyle w:val="ListBullet"/>
            </w:pPr>
            <w:r w:rsidRPr="005A4AD2">
              <w:t>Content and formatting updated to comply with the new standards</w:t>
            </w:r>
          </w:p>
          <w:p w:rsidR="00000000" w:rsidRPr="005A4AD2" w:rsidP="005A4AD2">
            <w:pPr>
              <w:pStyle w:val="ListBullet"/>
            </w:pPr>
            <w:r w:rsidRPr="005A4AD2">
              <w:t>All PC transitioned from passive to active voice</w:t>
            </w:r>
          </w:p>
        </w:tc>
      </w:tr>
    </w:tbl>
    <w:p w:rsidR="00000000" w:rsidRPr="005A4AD2" w:rsidP="005A4AD2">
      <w:pPr>
        <w:pStyle w:val="BodyText"/>
      </w:pPr>
    </w:p>
    <w:p w:rsidR="00000000" w:rsidRPr="005A4AD2" w:rsidP="005A4AD2">
      <w:pPr>
        <w:pStyle w:val="AllowPageBreak"/>
      </w:pPr>
    </w:p>
    <w:p w:rsidR="00000000" w:rsidRPr="005A4AD2" w:rsidP="005A4AD2">
      <w:pPr>
        <w:pStyle w:val="Heading1"/>
      </w:pPr>
      <w:bookmarkStart w:id="2" w:name="O_816056"/>
      <w:bookmarkEnd w:id="2"/>
      <w:r w:rsidRPr="005A4AD2">
        <w:t>Application</w:t>
      </w:r>
    </w:p>
    <w:p w:rsidR="00000000" w:rsidRPr="005A4AD2" w:rsidP="00E7063D">
      <w:pPr>
        <w:pStyle w:val="BodyText"/>
      </w:pPr>
      <w:r w:rsidRPr="005A4AD2">
        <w:t>This unit describes the skills required to organise available resources at a senior operative level to facilitate achievement of work unit objectives. It includes acquiring and applying available resources, monitoring and reporting on resource usage and ma</w:t>
      </w:r>
      <w:r w:rsidRPr="005A4AD2">
        <w:t>intaining resources.</w:t>
      </w:r>
    </w:p>
    <w:p w:rsidR="00000000" w:rsidRPr="005A4AD2" w:rsidP="00E7063D">
      <w:pPr>
        <w:pStyle w:val="BodyText"/>
      </w:pPr>
      <w:r w:rsidRPr="005A4AD2">
        <w:t>This unit applies to those working in senior roles within the public sector.</w:t>
      </w:r>
    </w:p>
    <w:p w:rsidR="00000000" w:rsidRPr="005A4AD2" w:rsidP="00E7063D">
      <w:pPr>
        <w:pStyle w:val="BodyText"/>
      </w:pPr>
      <w:r w:rsidRPr="005A4AD2">
        <w:t>The skills and knowledge described in this unit must be applied within the legislative, regulatory and policy environment in which they are carried out. Org</w:t>
      </w:r>
      <w:r w:rsidRPr="005A4AD2">
        <w:t>anisational policies and procedures must be consulted and adhered to.</w:t>
      </w:r>
    </w:p>
    <w:p w:rsidR="00000000" w:rsidRPr="005A4AD2" w:rsidP="00E7063D">
      <w:pPr>
        <w:pStyle w:val="BodyText"/>
      </w:pPr>
      <w:r w:rsidRPr="005A4AD2">
        <w:t>Those undertaking this unit would work autonomously, supervising others performing complex tasks in a range of familiar contexts.</w:t>
      </w:r>
    </w:p>
    <w:p w:rsidR="00E7063D" w:rsidP="00E7063D">
      <w:pPr>
        <w:pStyle w:val="BodyText"/>
      </w:pPr>
      <w:r w:rsidRPr="005A4AD2">
        <w:t>No licensing, legislative or certification requirement</w:t>
      </w:r>
      <w:r w:rsidRPr="005A4AD2">
        <w:t>s apply to unit at the time of publication.</w:t>
      </w:r>
    </w:p>
    <w:p w:rsidR="00000000" w:rsidRPr="005A4AD2" w:rsidP="005A4AD2">
      <w:pPr>
        <w:pStyle w:val="Heading1"/>
      </w:pPr>
      <w:bookmarkStart w:id="3" w:name="O_816058"/>
      <w:bookmarkEnd w:id="3"/>
      <w:r w:rsidRPr="005A4AD2">
        <w:t>Competency Field</w:t>
      </w:r>
    </w:p>
    <w:p w:rsidR="00000000" w:rsidRPr="005A4AD2" w:rsidP="00E7063D">
      <w:pPr>
        <w:pStyle w:val="BodyText"/>
      </w:pPr>
      <w:r w:rsidRPr="005A4AD2">
        <w:t>General</w:t>
      </w:r>
    </w:p>
    <w:p w:rsidR="00000000" w:rsidRPr="005A4AD2" w:rsidP="005A4AD2">
      <w:pPr>
        <w:pStyle w:val="Heading1"/>
      </w:pPr>
      <w:bookmarkStart w:id="4" w:name="O_816060"/>
      <w:bookmarkEnd w:id="4"/>
      <w:r w:rsidRPr="005A4A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5A4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TableHeading"/>
              <w:rPr>
                <w:lang w:val="en-NZ"/>
              </w:rPr>
            </w:pPr>
            <w:r w:rsidRPr="005A4AD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TableHeading"/>
              <w:rPr>
                <w:lang w:val="en-NZ"/>
              </w:rPr>
            </w:pPr>
            <w:r w:rsidRPr="005A4AD2">
              <w:t>PERFORMANCE CRITERIA</w:t>
            </w:r>
          </w:p>
        </w:tc>
      </w:tr>
      <w:tr w:rsidTr="005A4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BodyText"/>
              <w:rPr>
                <w:lang w:val="en-NZ"/>
              </w:rPr>
            </w:pPr>
            <w:r w:rsidRPr="005A4AD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BodyText"/>
              <w:rPr>
                <w:lang w:val="en-NZ"/>
              </w:rPr>
            </w:pPr>
            <w:r w:rsidRPr="005A4AD2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5A4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List"/>
              <w:rPr>
                <w:lang w:val="en-NZ"/>
              </w:rPr>
            </w:pPr>
            <w:r w:rsidRPr="005A4AD2">
              <w:rPr>
                <w:rStyle w:val="SpecialBold"/>
              </w:rPr>
              <w:t>1.</w:t>
            </w:r>
            <w:r w:rsidRPr="005A4AD2">
              <w:rPr>
                <w:rStyle w:val="SpecialBold"/>
              </w:rPr>
              <w:tab/>
              <w:t>Acquire and apply available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D2" w:rsidP="005A4AD2">
            <w:pPr>
              <w:pStyle w:val="List"/>
            </w:pPr>
            <w:r w:rsidRPr="005A4AD2">
              <w:t>1.1</w:t>
            </w:r>
            <w:r w:rsidRPr="005A4AD2">
              <w:tab/>
              <w:t>Identify a</w:t>
            </w:r>
            <w:r w:rsidRPr="005A4AD2">
              <w:t>vailable resources and fill gaps in accordance with work unit plans.</w:t>
            </w:r>
          </w:p>
          <w:p w:rsidR="00000000" w:rsidRPr="005A4AD2" w:rsidP="005A4AD2">
            <w:pPr>
              <w:pStyle w:val="List"/>
            </w:pPr>
            <w:r w:rsidRPr="005A4AD2">
              <w:t>1.2</w:t>
            </w:r>
            <w:r w:rsidRPr="005A4AD2">
              <w:tab/>
              <w:t>Apply procedures that promote efficient, economical and effective allocation and distribution of resources.</w:t>
            </w:r>
          </w:p>
          <w:p w:rsidR="00000000" w:rsidP="005A4AD2">
            <w:pPr>
              <w:pStyle w:val="List"/>
              <w:rPr>
                <w:lang w:val="en-NZ"/>
              </w:rPr>
            </w:pPr>
            <w:r w:rsidRPr="005A4AD2">
              <w:t>1.3</w:t>
            </w:r>
            <w:r w:rsidRPr="005A4AD2">
              <w:tab/>
              <w:t>Handle resources in accordance with established work practices and guid</w:t>
            </w:r>
            <w:r w:rsidRPr="005A4AD2">
              <w:t>elines.</w:t>
            </w:r>
          </w:p>
        </w:tc>
      </w:tr>
      <w:tr w:rsidTr="005A4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List"/>
              <w:rPr>
                <w:lang w:val="en-NZ"/>
              </w:rPr>
            </w:pPr>
            <w:r w:rsidRPr="005A4AD2">
              <w:rPr>
                <w:rStyle w:val="SpecialBold"/>
              </w:rPr>
              <w:t>2.</w:t>
            </w:r>
            <w:r w:rsidRPr="005A4AD2">
              <w:rPr>
                <w:rStyle w:val="SpecialBold"/>
              </w:rPr>
              <w:tab/>
              <w:t>Monitor and report on resource usage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D2" w:rsidP="005A4AD2">
            <w:pPr>
              <w:pStyle w:val="List"/>
            </w:pPr>
            <w:r w:rsidRPr="005A4AD2">
              <w:t>2.1</w:t>
            </w:r>
            <w:r w:rsidRPr="005A4AD2">
              <w:tab/>
              <w:t>Monitor and report on trends in resource usage.</w:t>
            </w:r>
          </w:p>
          <w:p w:rsidR="00000000" w:rsidRPr="005A4AD2" w:rsidP="005A4AD2">
            <w:pPr>
              <w:pStyle w:val="List"/>
            </w:pPr>
            <w:r w:rsidRPr="005A4AD2">
              <w:t>2.2</w:t>
            </w:r>
            <w:r w:rsidRPr="005A4AD2">
              <w:tab/>
              <w:t>Maintain records of resource usage.</w:t>
            </w:r>
          </w:p>
          <w:p w:rsidR="00000000" w:rsidRPr="005A4AD2" w:rsidP="005A4AD2">
            <w:pPr>
              <w:pStyle w:val="List"/>
            </w:pPr>
            <w:r w:rsidRPr="005A4AD2">
              <w:t>2.3</w:t>
            </w:r>
            <w:r w:rsidRPr="005A4AD2">
              <w:tab/>
              <w:t>Operate relevant financial and resource management systems.</w:t>
            </w:r>
          </w:p>
          <w:p w:rsidR="00000000" w:rsidP="005A4AD2">
            <w:pPr>
              <w:pStyle w:val="List"/>
              <w:rPr>
                <w:lang w:val="en-NZ"/>
              </w:rPr>
            </w:pPr>
            <w:r w:rsidRPr="005A4AD2">
              <w:t>2.4</w:t>
            </w:r>
            <w:r w:rsidRPr="005A4AD2">
              <w:tab/>
              <w:t>Identify resource shortfalls and make recommend</w:t>
            </w:r>
            <w:r w:rsidRPr="005A4AD2">
              <w:t>ations to address these.</w:t>
            </w:r>
          </w:p>
        </w:tc>
      </w:tr>
      <w:tr w:rsidTr="005A4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List"/>
              <w:rPr>
                <w:lang w:val="en-NZ"/>
              </w:rPr>
            </w:pPr>
            <w:r w:rsidRPr="005A4AD2">
              <w:rPr>
                <w:rStyle w:val="SpecialBold"/>
              </w:rPr>
              <w:t>3.</w:t>
            </w:r>
            <w:r w:rsidRPr="005A4AD2">
              <w:rPr>
                <w:rStyle w:val="SpecialBold"/>
              </w:rPr>
              <w:tab/>
              <w:t>Maintain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D2" w:rsidP="005A4AD2">
            <w:pPr>
              <w:pStyle w:val="List"/>
            </w:pPr>
            <w:r w:rsidRPr="005A4AD2">
              <w:t>3.1</w:t>
            </w:r>
            <w:r w:rsidRPr="005A4AD2">
              <w:tab/>
              <w:t>Maintain resources in accordance with manufacturers’ guidelines and service contracts.</w:t>
            </w:r>
          </w:p>
          <w:p w:rsidR="00000000" w:rsidRPr="005A4AD2" w:rsidP="005A4AD2">
            <w:pPr>
              <w:pStyle w:val="List"/>
            </w:pPr>
            <w:r w:rsidRPr="005A4AD2">
              <w:t>3.2</w:t>
            </w:r>
            <w:r w:rsidRPr="005A4AD2">
              <w:tab/>
              <w:t>Organise maintenance of resources to facilitate work practices and outcomes.</w:t>
            </w:r>
          </w:p>
          <w:p w:rsidR="00000000" w:rsidRPr="005A4AD2" w:rsidP="005A4AD2">
            <w:pPr>
              <w:pStyle w:val="List"/>
            </w:pPr>
            <w:r w:rsidRPr="005A4AD2">
              <w:t>3.3</w:t>
            </w:r>
            <w:r w:rsidRPr="005A4AD2">
              <w:tab/>
              <w:t>Develop contingency plans to ens</w:t>
            </w:r>
            <w:r w:rsidRPr="005A4AD2">
              <w:t>ure operational continuity.</w:t>
            </w:r>
          </w:p>
        </w:tc>
      </w:tr>
    </w:tbl>
    <w:p w:rsidR="00000000" w:rsidRPr="005A4AD2" w:rsidP="005A4AD2">
      <w:pPr>
        <w:pStyle w:val="BodyText"/>
      </w:pPr>
    </w:p>
    <w:p w:rsidR="00000000" w:rsidRPr="005A4AD2" w:rsidP="005A4AD2">
      <w:pPr>
        <w:pStyle w:val="AllowPageBreak"/>
      </w:pPr>
    </w:p>
    <w:p w:rsidR="00000000" w:rsidRPr="005A4AD2" w:rsidP="005A4AD2">
      <w:pPr>
        <w:pStyle w:val="Heading1"/>
      </w:pPr>
      <w:bookmarkStart w:id="5" w:name="O_816061"/>
      <w:bookmarkEnd w:id="5"/>
      <w:r w:rsidRPr="005A4AD2">
        <w:t>Foundation Skills</w:t>
      </w:r>
    </w:p>
    <w:p w:rsidR="00000000" w:rsidRPr="005A4AD2" w:rsidP="00E7063D">
      <w:pPr>
        <w:pStyle w:val="BodyText"/>
      </w:pPr>
      <w:r w:rsidRPr="005A4AD2">
        <w:t>Foundation skills are embedded within the elements and performance criteria of this unit.</w:t>
      </w:r>
    </w:p>
    <w:p w:rsidR="00000000" w:rsidRPr="005A4AD2" w:rsidP="005A4AD2">
      <w:pPr>
        <w:pStyle w:val="Heading1"/>
      </w:pPr>
      <w:bookmarkStart w:id="6" w:name="O_816063"/>
      <w:bookmarkEnd w:id="6"/>
      <w:r w:rsidRPr="005A4AD2">
        <w:t>Unit Mapping Information</w:t>
      </w:r>
    </w:p>
    <w:p w:rsidR="00000000" w:rsidRPr="005A4AD2" w:rsidP="00E7063D">
      <w:pPr>
        <w:pStyle w:val="BodyText"/>
      </w:pPr>
      <w:r w:rsidRPr="005A4AD2">
        <w:t>This unit supersedes and is equivalent to PSPGOV403B Use resources to achieve work unit goals.</w:t>
      </w:r>
    </w:p>
    <w:p w:rsidR="00000000" w:rsidRPr="005A4AD2" w:rsidP="005A4AD2">
      <w:pPr>
        <w:pStyle w:val="Heading1"/>
      </w:pPr>
      <w:bookmarkStart w:id="7" w:name="O_816070"/>
      <w:bookmarkEnd w:id="7"/>
      <w:r w:rsidRPr="005A4AD2">
        <w:t>Links</w:t>
      </w:r>
    </w:p>
    <w:p w:rsidR="00000000" w:rsidRPr="005A4AD2" w:rsidP="00E7063D">
      <w:pPr>
        <w:pStyle w:val="BodyText"/>
      </w:pPr>
      <w:r w:rsidRPr="005A4A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8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4AD2" w:rsidP="00E7063D">
      <w:pPr>
        <w:pStyle w:val="BodyText"/>
      </w:pPr>
      <w:r w:rsidRPr="005A4A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8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4AD2" w:rsidP="00E7063D">
      <w:pPr>
        <w:pStyle w:val="BodyText"/>
      </w:pPr>
      <w:r w:rsidRPr="005A4A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8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4AD2" w:rsidP="00E7063D">
      <w:pPr>
        <w:pStyle w:val="BodyText"/>
      </w:pPr>
      <w:r w:rsidRPr="005A4A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8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4AD2" w:rsidP="00E7063D">
      <w:pPr>
        <w:pStyle w:val="BodyText"/>
        <w:sectPr w:rsidSect="005A4A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4AD2" w:rsidP="005A4AD2">
      <w:pPr>
        <w:pStyle w:val="SuperHeading"/>
      </w:pPr>
      <w:r w:rsidRPr="005A4AD2">
        <w:t>Assessment Requirem</w:t>
      </w:r>
      <w:r w:rsidRPr="005A4AD2">
        <w:t>ents for PSPGEN024 Use resources to achieve work unit goals</w:t>
      </w:r>
    </w:p>
    <w:p w:rsidR="00000000" w:rsidRPr="005A4AD2" w:rsidP="005A4AD2">
      <w:pPr>
        <w:pStyle w:val="Heading1"/>
      </w:pPr>
      <w:bookmarkStart w:id="8" w:name="O_816065"/>
      <w:bookmarkEnd w:id="8"/>
      <w:r w:rsidRPr="005A4A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7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TableHeading"/>
              <w:rPr>
                <w:lang w:val="en-NZ"/>
              </w:rPr>
            </w:pPr>
            <w:r w:rsidRPr="005A4AD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TableHeading"/>
              <w:rPr>
                <w:lang w:val="en-NZ"/>
              </w:rPr>
            </w:pPr>
            <w:r w:rsidRPr="005A4AD2">
              <w:t>Comments</w:t>
            </w:r>
          </w:p>
        </w:tc>
      </w:tr>
      <w:tr w:rsidTr="00E7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D2">
            <w:pPr>
              <w:pStyle w:val="BodyText"/>
              <w:rPr>
                <w:lang w:val="en-NZ"/>
              </w:rPr>
            </w:pPr>
            <w:r w:rsidRPr="005A4AD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D2" w:rsidP="005A4AD2">
            <w:pPr>
              <w:pStyle w:val="BodyText"/>
            </w:pPr>
            <w:r w:rsidRPr="005A4AD2">
              <w:t xml:space="preserve">These Assessment Requirements were released in PSP Public Sector Training Package release 1.0 and meet the Standards for Training Packages. </w:t>
            </w:r>
          </w:p>
          <w:p w:rsidR="00000000" w:rsidRPr="005A4AD2" w:rsidP="005A4AD2">
            <w:pPr>
              <w:pStyle w:val="BodyText"/>
            </w:pPr>
          </w:p>
          <w:p w:rsidR="00000000" w:rsidRPr="005A4AD2" w:rsidP="005A4AD2">
            <w:pPr>
              <w:pStyle w:val="ListBullet"/>
            </w:pPr>
            <w:r w:rsidRPr="005A4AD2">
              <w:t>Assessment Requirements created drawing upon specified assessment information from superseded unit</w:t>
            </w:r>
          </w:p>
        </w:tc>
      </w:tr>
    </w:tbl>
    <w:p w:rsidR="00000000" w:rsidRPr="005A4AD2" w:rsidP="005A4AD2">
      <w:pPr>
        <w:pStyle w:val="BodyText"/>
      </w:pPr>
    </w:p>
    <w:p w:rsidR="00000000" w:rsidRPr="005A4AD2" w:rsidP="005A4AD2">
      <w:pPr>
        <w:pStyle w:val="AllowPageBreak"/>
      </w:pPr>
    </w:p>
    <w:p w:rsidR="00000000" w:rsidRPr="005A4AD2" w:rsidP="005A4AD2">
      <w:pPr>
        <w:pStyle w:val="Heading1"/>
      </w:pPr>
      <w:bookmarkStart w:id="9" w:name="O_816066"/>
      <w:bookmarkEnd w:id="9"/>
      <w:r w:rsidRPr="005A4AD2">
        <w:t>Performance Evidence</w:t>
      </w:r>
    </w:p>
    <w:p w:rsidR="00000000" w:rsidRPr="005A4AD2" w:rsidP="00E7063D">
      <w:pPr>
        <w:pStyle w:val="BodyText"/>
      </w:pPr>
      <w:r w:rsidRPr="005A4AD2">
        <w:t xml:space="preserve">Evidence required to demonstrate competence must satisfy all of the requirements of the elements and performance criteria. If not otherwise specified the candidate </w:t>
      </w:r>
      <w:r w:rsidRPr="005A4AD2">
        <w:t>must demonstrate evidence of performance of the following on at least one occasion.</w:t>
      </w:r>
    </w:p>
    <w:p w:rsidR="00000000" w:rsidRPr="005A4AD2" w:rsidP="005A4AD2">
      <w:pPr>
        <w:pStyle w:val="ListBullet"/>
      </w:pPr>
      <w:r w:rsidRPr="005A4AD2">
        <w:t xml:space="preserve">applying legislation, policy and guidelines relating to resource usage, storage and maintenance </w:t>
      </w:r>
    </w:p>
    <w:p w:rsidR="00000000" w:rsidRPr="005A4AD2" w:rsidP="005A4AD2">
      <w:pPr>
        <w:pStyle w:val="ListBullet"/>
      </w:pPr>
      <w:r w:rsidRPr="005A4AD2">
        <w:t>communicating with diverse people on resource related matters, including m</w:t>
      </w:r>
      <w:r w:rsidRPr="005A4AD2">
        <w:t>aintenance contractors, work unit members, managers</w:t>
      </w:r>
    </w:p>
    <w:p w:rsidR="00000000" w:rsidRPr="005A4AD2" w:rsidP="005A4AD2">
      <w:pPr>
        <w:pStyle w:val="ListBullet"/>
      </w:pPr>
      <w:r w:rsidRPr="005A4AD2">
        <w:t>monitoring outcomes</w:t>
      </w:r>
    </w:p>
    <w:p w:rsidR="00000000" w:rsidRPr="005A4AD2" w:rsidP="005A4AD2">
      <w:pPr>
        <w:pStyle w:val="AllowPageBreak"/>
      </w:pPr>
    </w:p>
    <w:p w:rsidR="00000000" w:rsidRPr="005A4AD2" w:rsidP="005A4AD2">
      <w:pPr>
        <w:pStyle w:val="Heading1"/>
      </w:pPr>
      <w:bookmarkStart w:id="10" w:name="O_816067"/>
      <w:bookmarkEnd w:id="10"/>
      <w:r w:rsidRPr="005A4AD2">
        <w:t>Knowledge Evidence</w:t>
      </w:r>
    </w:p>
    <w:p w:rsidR="00000000" w:rsidRPr="005A4AD2" w:rsidP="00E7063D">
      <w:pPr>
        <w:pStyle w:val="BodyText"/>
      </w:pPr>
      <w:r w:rsidRPr="005A4AD2">
        <w:t>Evidence required to demonstrate competence must satisfy all of the requirements of the elements and performance criteria. If not otherwise specifie</w:t>
      </w:r>
      <w:r w:rsidRPr="005A4AD2">
        <w:t>d the depth of knowledge demonstrated must be appropriate to the job context of the candidate.</w:t>
      </w:r>
    </w:p>
    <w:p w:rsidR="00000000" w:rsidRPr="005A4AD2" w:rsidP="005A4AD2">
      <w:pPr>
        <w:pStyle w:val="ListBullet"/>
      </w:pPr>
      <w:r w:rsidRPr="005A4AD2">
        <w:t xml:space="preserve">legislation including WHS and environment and sustainability, regulations, policies, procedures and guidelines relating to resource usage </w:t>
      </w:r>
    </w:p>
    <w:p w:rsidR="00000000" w:rsidRPr="005A4AD2" w:rsidP="005A4AD2">
      <w:pPr>
        <w:pStyle w:val="ListBullet"/>
      </w:pPr>
      <w:r w:rsidRPr="005A4AD2">
        <w:t>operational procedure</w:t>
      </w:r>
      <w:r w:rsidRPr="005A4AD2">
        <w:t>s for accessing, storing, maintaining and using resources</w:t>
      </w:r>
    </w:p>
    <w:p w:rsidR="00000000" w:rsidRPr="005A4AD2" w:rsidP="005A4AD2">
      <w:pPr>
        <w:pStyle w:val="ListBullet"/>
      </w:pPr>
      <w:r w:rsidRPr="005A4AD2">
        <w:t>security and fraud control guidelines</w:t>
      </w:r>
    </w:p>
    <w:p w:rsidR="00000000" w:rsidRPr="005A4AD2" w:rsidP="005A4AD2">
      <w:pPr>
        <w:pStyle w:val="ListBullet"/>
      </w:pPr>
      <w:r w:rsidRPr="005A4AD2">
        <w:t>stock handling procedures</w:t>
      </w:r>
    </w:p>
    <w:p w:rsidR="00000000" w:rsidRPr="005A4AD2" w:rsidP="005A4AD2">
      <w:pPr>
        <w:pStyle w:val="AllowPageBreak"/>
      </w:pPr>
    </w:p>
    <w:p w:rsidR="00000000" w:rsidRPr="005A4AD2" w:rsidP="005A4AD2">
      <w:pPr>
        <w:pStyle w:val="Heading1"/>
      </w:pPr>
      <w:bookmarkStart w:id="11" w:name="O_816068"/>
      <w:bookmarkEnd w:id="11"/>
      <w:r w:rsidRPr="005A4AD2">
        <w:t>Assessment Conditions</w:t>
      </w:r>
    </w:p>
    <w:p w:rsidR="00000000" w:rsidRPr="005A4AD2" w:rsidP="00E7063D">
      <w:pPr>
        <w:pStyle w:val="BodyText"/>
      </w:pPr>
      <w:r w:rsidRPr="005A4AD2">
        <w:t>This unit contains no specific industry-mandated assessment conditions. Guidance on suggested and recommended conditions and methods can be found in the Implementation Guide.</w:t>
      </w:r>
    </w:p>
    <w:p w:rsidR="00E7063D" w:rsidP="00E7063D">
      <w:pPr>
        <w:pStyle w:val="BodyText"/>
      </w:pPr>
      <w:r w:rsidRPr="005A4AD2">
        <w:t>Assessors must satisfy the NVR/AQTF mandatory competency requirements for assess</w:t>
      </w:r>
      <w:r w:rsidRPr="005A4AD2">
        <w:t>ors.</w:t>
      </w:r>
    </w:p>
    <w:p w:rsidR="00000000" w:rsidRPr="005A4AD2" w:rsidP="005A4AD2">
      <w:pPr>
        <w:pStyle w:val="Heading1"/>
      </w:pPr>
      <w:bookmarkStart w:id="12" w:name="O_816071"/>
      <w:bookmarkEnd w:id="12"/>
      <w:r w:rsidRPr="005A4AD2">
        <w:t>Links</w:t>
      </w:r>
    </w:p>
    <w:p w:rsidR="00000000" w:rsidRPr="005A4AD2" w:rsidP="00E7063D">
      <w:pPr>
        <w:pStyle w:val="BodyText"/>
      </w:pPr>
      <w:r w:rsidRPr="005A4A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8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4AD2" w:rsidP="00E7063D">
      <w:pPr>
        <w:pStyle w:val="BodyText"/>
      </w:pPr>
      <w:r w:rsidRPr="005A4A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8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4AD2" w:rsidP="00E7063D">
      <w:pPr>
        <w:pStyle w:val="BodyText"/>
      </w:pPr>
      <w:r w:rsidRPr="005A4A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8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A4AD2" w:rsidP="005A4AD2"/>
    <w:sectPr w:rsidSect="005A4A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D2" w:rsidRPr="00E7063D" w:rsidP="00E70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63D" w:rsidP="005A4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63D" w:rsidP="005A4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7063D" w:rsidP="005A4A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D2" w:rsidP="005A4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063D">
      <w:t>Approved</w:t>
    </w:r>
    <w:r w:rsidR="00E706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06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063D">
      <w:rPr>
        <w:noProof/>
      </w:rPr>
      <w:t>4</w:t>
    </w:r>
    <w:r>
      <w:rPr>
        <w:noProof/>
      </w:rPr>
      <w:fldChar w:fldCharType="end"/>
    </w:r>
  </w:p>
  <w:p w:rsidR="005A4AD2" w:rsidP="005A4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06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063D">
      <w:t>Public Skills Australia</w:t>
    </w:r>
    <w:r w:rsidR="00E7063D">
      <w:fldChar w:fldCharType="end"/>
    </w:r>
  </w:p>
  <w:p w:rsidR="005A4AD2" w:rsidP="005A4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6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AD2" w:rsidRPr="00E7063D" w:rsidP="00E706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63D" w:rsidRPr="002D2AF8" w:rsidP="005A4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PSPGEN024 Use resources to achieve work unit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063D" w:rsidP="005A4A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D2" w:rsidRPr="002D2AF8" w:rsidP="005A4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063D">
      <w:t>PSPGEN024 Use resources to achieve work unit goals</w:t>
    </w:r>
    <w:r w:rsidR="00E706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063D">
      <w:rPr>
        <w:noProof/>
      </w:rPr>
      <w:t>2 March 2025</w:t>
    </w:r>
    <w:r>
      <w:fldChar w:fldCharType="end"/>
    </w:r>
  </w:p>
  <w:p w:rsidR="005A4AD2" w:rsidP="005A4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E2A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3C7C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AD2"/>
  </w:style>
  <w:style w:type="character" w:customStyle="1" w:styleId="Heading1Char">
    <w:name w:val="Heading 1 Char"/>
    <w:basedOn w:val="DefaultParagraphFont"/>
    <w:link w:val="Heading1"/>
    <w:rsid w:val="005A4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A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4A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4A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AD2"/>
    <w:rPr>
      <w:b/>
      <w:spacing w:val="0"/>
    </w:rPr>
  </w:style>
  <w:style w:type="paragraph" w:customStyle="1" w:styleId="SuperHeading">
    <w:name w:val="SuperHeading"/>
    <w:basedOn w:val="Normal"/>
    <w:rsid w:val="005A4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4A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4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A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4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4A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4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A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AD2"/>
    <w:rPr>
      <w:i/>
    </w:rPr>
  </w:style>
  <w:style w:type="paragraph" w:styleId="Caption">
    <w:name w:val="caption"/>
    <w:basedOn w:val="BodyText"/>
    <w:next w:val="Normal"/>
    <w:qFormat/>
    <w:rsid w:val="005A4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AD2"/>
  </w:style>
  <w:style w:type="paragraph" w:styleId="TableofFigures">
    <w:name w:val="table of figures"/>
    <w:basedOn w:val="Normal"/>
    <w:next w:val="Normal"/>
    <w:semiHidden/>
    <w:rsid w:val="005A4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A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4AD2"/>
    <w:rPr>
      <w:rFonts w:ascii="Wingdings" w:hAnsi="Wingdings"/>
    </w:rPr>
  </w:style>
  <w:style w:type="character" w:customStyle="1" w:styleId="HotSpot">
    <w:name w:val="HotSpot"/>
    <w:rsid w:val="005A4AD2"/>
    <w:rPr>
      <w:color w:val="0033CC"/>
      <w:u w:val="none"/>
    </w:rPr>
  </w:style>
  <w:style w:type="paragraph" w:customStyle="1" w:styleId="BodyTextRight">
    <w:name w:val="Body Text Right"/>
    <w:basedOn w:val="BodyText"/>
    <w:rsid w:val="005A4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A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AD2"/>
    <w:rPr>
      <w:sz w:val="32"/>
    </w:rPr>
  </w:style>
  <w:style w:type="paragraph" w:customStyle="1" w:styleId="HeadingProcedure">
    <w:name w:val="Heading Procedure"/>
    <w:basedOn w:val="HeadingBase"/>
    <w:next w:val="Normal"/>
    <w:rsid w:val="005A4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AD2"/>
    <w:pPr>
      <w:spacing w:before="60" w:after="60"/>
    </w:pPr>
  </w:style>
  <w:style w:type="paragraph" w:styleId="ListContinue">
    <w:name w:val="List Continue"/>
    <w:basedOn w:val="List"/>
    <w:rsid w:val="005A4AD2"/>
    <w:pPr>
      <w:ind w:firstLine="0"/>
    </w:pPr>
  </w:style>
  <w:style w:type="paragraph" w:customStyle="1" w:styleId="ListNote">
    <w:name w:val="List Note"/>
    <w:basedOn w:val="List"/>
    <w:rsid w:val="005A4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AD2"/>
    <w:rPr>
      <w:rFonts w:ascii="Courier New" w:hAnsi="Courier New"/>
    </w:rPr>
  </w:style>
  <w:style w:type="paragraph" w:customStyle="1" w:styleId="NoteBullet">
    <w:name w:val="Note Bullet"/>
    <w:basedOn w:val="Note"/>
    <w:rsid w:val="005A4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A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4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AD2"/>
    <w:rPr>
      <w:b/>
      <w:smallCaps/>
    </w:rPr>
  </w:style>
  <w:style w:type="paragraph" w:customStyle="1" w:styleId="TableListNumber">
    <w:name w:val="Table List Number"/>
    <w:basedOn w:val="ListNumber"/>
    <w:rsid w:val="005A4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AD2"/>
    <w:pPr>
      <w:numPr>
        <w:numId w:val="8"/>
      </w:numPr>
    </w:pPr>
  </w:style>
  <w:style w:type="paragraph" w:customStyle="1" w:styleId="ListAlpha2">
    <w:name w:val="List Alpha 2"/>
    <w:basedOn w:val="List2"/>
    <w:rsid w:val="005A4AD2"/>
    <w:pPr>
      <w:numPr>
        <w:numId w:val="7"/>
      </w:numPr>
    </w:pPr>
  </w:style>
  <w:style w:type="paragraph" w:styleId="List2">
    <w:name w:val="List 2"/>
    <w:basedOn w:val="BodyText"/>
    <w:rsid w:val="005A4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A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A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4AD2"/>
    <w:pPr>
      <w:numPr>
        <w:numId w:val="3"/>
      </w:numPr>
    </w:pPr>
  </w:style>
  <w:style w:type="paragraph" w:styleId="ListContinue2">
    <w:name w:val="List Continue 2"/>
    <w:basedOn w:val="List2"/>
    <w:rsid w:val="005A4AD2"/>
    <w:pPr>
      <w:ind w:firstLine="0"/>
    </w:pPr>
  </w:style>
  <w:style w:type="paragraph" w:styleId="ListContinue3">
    <w:name w:val="List Continue 3"/>
    <w:basedOn w:val="List3"/>
    <w:rsid w:val="005A4AD2"/>
    <w:pPr>
      <w:ind w:left="1021" w:firstLine="0"/>
    </w:pPr>
  </w:style>
  <w:style w:type="paragraph" w:styleId="ListContinue4">
    <w:name w:val="List Continue 4"/>
    <w:basedOn w:val="List4"/>
    <w:rsid w:val="005A4AD2"/>
    <w:pPr>
      <w:ind w:firstLine="0"/>
    </w:pPr>
  </w:style>
  <w:style w:type="paragraph" w:styleId="ListContinue5">
    <w:name w:val="List Continue 5"/>
    <w:basedOn w:val="List5"/>
    <w:rsid w:val="005A4AD2"/>
    <w:pPr>
      <w:ind w:firstLine="0"/>
    </w:pPr>
  </w:style>
  <w:style w:type="paragraph" w:styleId="ListNumber3">
    <w:name w:val="List Number 3"/>
    <w:basedOn w:val="List3"/>
    <w:rsid w:val="005A4AD2"/>
    <w:pPr>
      <w:numPr>
        <w:numId w:val="4"/>
      </w:numPr>
    </w:pPr>
  </w:style>
  <w:style w:type="paragraph" w:styleId="ListNumber4">
    <w:name w:val="List Number 4"/>
    <w:basedOn w:val="List4"/>
    <w:rsid w:val="005A4AD2"/>
    <w:pPr>
      <w:numPr>
        <w:numId w:val="5"/>
      </w:numPr>
    </w:pPr>
  </w:style>
  <w:style w:type="paragraph" w:styleId="ListNumber5">
    <w:name w:val="List Number 5"/>
    <w:basedOn w:val="List5"/>
    <w:rsid w:val="005A4AD2"/>
    <w:pPr>
      <w:numPr>
        <w:numId w:val="6"/>
      </w:numPr>
    </w:pPr>
  </w:style>
  <w:style w:type="paragraph" w:styleId="BlockText">
    <w:name w:val="Block Text"/>
    <w:basedOn w:val="Normal"/>
    <w:rsid w:val="005A4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AD2"/>
    <w:rPr>
      <w:sz w:val="16"/>
      <w:vertAlign w:val="superscript"/>
    </w:rPr>
  </w:style>
  <w:style w:type="character" w:customStyle="1" w:styleId="Symbols">
    <w:name w:val="Symbols"/>
    <w:basedOn w:val="DefaultParagraphFont"/>
    <w:rsid w:val="005A4AD2"/>
    <w:rPr>
      <w:rFonts w:ascii="Symbol" w:hAnsi="Symbol"/>
    </w:rPr>
  </w:style>
  <w:style w:type="character" w:customStyle="1" w:styleId="MenuOptions">
    <w:name w:val="Menu Options"/>
    <w:basedOn w:val="DefaultParagraphFont"/>
    <w:rsid w:val="005A4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AD2"/>
    <w:rPr>
      <w:b/>
    </w:rPr>
  </w:style>
  <w:style w:type="character" w:customStyle="1" w:styleId="Underlined">
    <w:name w:val="Underlined"/>
    <w:basedOn w:val="DefaultParagraphFont"/>
    <w:rsid w:val="005A4AD2"/>
    <w:rPr>
      <w:u w:val="single"/>
    </w:rPr>
  </w:style>
  <w:style w:type="paragraph" w:customStyle="1" w:styleId="TableBodyTextRight">
    <w:name w:val="Table Body Text Right"/>
    <w:basedOn w:val="TableBodyText"/>
    <w:rsid w:val="005A4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AD2"/>
    <w:rPr>
      <w:sz w:val="18"/>
    </w:rPr>
  </w:style>
  <w:style w:type="paragraph" w:customStyle="1" w:styleId="BodySmallRight">
    <w:name w:val="Body Small Right"/>
    <w:basedOn w:val="BodyTextRight"/>
    <w:rsid w:val="005A4AD2"/>
    <w:rPr>
      <w:sz w:val="18"/>
      <w:szCs w:val="18"/>
    </w:rPr>
  </w:style>
  <w:style w:type="paragraph" w:customStyle="1" w:styleId="MarginEdition">
    <w:name w:val="Margin Edition"/>
    <w:basedOn w:val="MarginNote"/>
    <w:rsid w:val="005A4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AD2"/>
    <w:rPr>
      <w:sz w:val="2"/>
      <w:szCs w:val="2"/>
    </w:rPr>
  </w:style>
  <w:style w:type="character" w:customStyle="1" w:styleId="Small">
    <w:name w:val="Small"/>
    <w:basedOn w:val="DefaultParagraphFont"/>
    <w:rsid w:val="005A4AD2"/>
    <w:rPr>
      <w:sz w:val="16"/>
    </w:rPr>
  </w:style>
  <w:style w:type="paragraph" w:customStyle="1" w:styleId="WideTable">
    <w:name w:val="Wide Table"/>
    <w:basedOn w:val="Normal"/>
    <w:rsid w:val="005A4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AD2"/>
  </w:style>
  <w:style w:type="paragraph" w:styleId="Quote">
    <w:name w:val="Quote"/>
    <w:basedOn w:val="Heading1"/>
    <w:link w:val="QuoteChar"/>
    <w:qFormat/>
    <w:rsid w:val="005A4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AD2"/>
    <w:pPr>
      <w:pageBreakBefore/>
    </w:pPr>
  </w:style>
  <w:style w:type="paragraph" w:customStyle="1" w:styleId="Border">
    <w:name w:val="Border"/>
    <w:basedOn w:val="Normal"/>
    <w:qFormat/>
    <w:rsid w:val="005A4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AD2"/>
    <w:rPr>
      <w:u w:val="single"/>
    </w:rPr>
  </w:style>
  <w:style w:type="character" w:customStyle="1" w:styleId="BoldandItalics">
    <w:name w:val="Bold and Italics"/>
    <w:qFormat/>
    <w:rsid w:val="005A4AD2"/>
    <w:rPr>
      <w:b/>
      <w:i/>
      <w:u w:val="none"/>
    </w:rPr>
  </w:style>
  <w:style w:type="paragraph" w:styleId="BalloonText">
    <w:name w:val="Balloon Text"/>
    <w:basedOn w:val="Normal"/>
    <w:link w:val="BalloonTextChar"/>
    <w:rsid w:val="005A4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AD2"/>
    <w:pPr>
      <w:spacing w:before="0" w:after="0"/>
    </w:pPr>
  </w:style>
  <w:style w:type="paragraph" w:customStyle="1" w:styleId="BodyTextBold">
    <w:name w:val="Body Text Bold"/>
    <w:basedOn w:val="BodyText"/>
    <w:qFormat/>
    <w:rsid w:val="005A4AD2"/>
    <w:rPr>
      <w:b/>
    </w:rPr>
  </w:style>
  <w:style w:type="character" w:styleId="Hyperlink">
    <w:name w:val="Hyperlink"/>
    <w:basedOn w:val="DefaultParagraphFont"/>
    <w:uiPriority w:val="99"/>
    <w:unhideWhenUsed/>
    <w:rsid w:val="00E70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5476</Characters>
  <Application>Microsoft Office Word</Application>
  <DocSecurity>0</DocSecurity>
  <Lines>161</Lines>
  <Paragraphs>93</Paragraphs>
  <ScaleCrop>false</ScaleCrop>
  <Company>Author-it Software Corporation Ltd.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PSPGEN024 Use resources to achieve work unit goals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