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537" w:rsidP="00B55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PSPFRU016 Manage fraud control awareness</w:t>
      </w:r>
      <w:r>
        <w:fldChar w:fldCharType="end"/>
      </w:r>
    </w:p>
    <w:p w:rsidR="00B55537" w:rsidP="00B55537">
      <w:pPr>
        <w:pStyle w:val="Version"/>
        <w:sectPr w:rsidSect="00BE2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65F" w:rsidP="00BE265F">
      <w:pPr>
        <w:pStyle w:val="SuperHeading"/>
      </w:pPr>
      <w:r w:rsidRPr="00BE265F">
        <w:t>PSPFRU016 Manage fraud control awareness</w:t>
      </w:r>
    </w:p>
    <w:p w:rsidR="00000000" w:rsidRPr="00BE265F" w:rsidP="00BE265F">
      <w:pPr>
        <w:pStyle w:val="Heading1"/>
      </w:pPr>
      <w:bookmarkStart w:id="1" w:name="O_1214815"/>
      <w:bookmarkEnd w:id="1"/>
      <w:r w:rsidRPr="00BE265F">
        <w:t>Modification History</w:t>
      </w:r>
    </w:p>
    <w:p w:rsidR="00000000" w:rsidRPr="00BE265F" w:rsidP="00B55537">
      <w:pPr>
        <w:pStyle w:val="BodyText"/>
      </w:pPr>
      <w:r w:rsidRPr="00BE265F">
        <w:t>Supersedes and is equivalent to PSPFRU011 Manage fraud control awareness.</w:t>
      </w:r>
    </w:p>
    <w:p w:rsidR="00000000" w:rsidRPr="00BE265F" w:rsidP="00BE265F">
      <w:pPr>
        <w:pStyle w:val="Heading1"/>
      </w:pPr>
      <w:bookmarkStart w:id="2" w:name="O_1214816"/>
      <w:bookmarkEnd w:id="2"/>
      <w:r w:rsidRPr="00BE265F">
        <w:t>Application</w:t>
      </w:r>
    </w:p>
    <w:p w:rsidR="00000000" w:rsidRPr="00BE265F" w:rsidP="00B55537">
      <w:pPr>
        <w:pStyle w:val="BodyText"/>
      </w:pPr>
      <w:r w:rsidRPr="00BE265F">
        <w:t>This unit describes the performance outcomes, skills and knowledge required to promote and disseminate the organisation’s approach</w:t>
      </w:r>
      <w:r w:rsidRPr="00BE265F">
        <w:t xml:space="preserve"> to fraud and corruption control to internal and external clients and the broader community. </w:t>
      </w:r>
    </w:p>
    <w:p w:rsidR="00000000" w:rsidRPr="00BE265F" w:rsidP="00B55537">
      <w:pPr>
        <w:pStyle w:val="BodyText"/>
      </w:pPr>
      <w:r w:rsidRPr="00BE265F">
        <w:t xml:space="preserve">This unit applies to those working autonomously in management roles involving the promotion of fraud control awareness. They supervise others and perform complex </w:t>
      </w:r>
      <w:r w:rsidRPr="00BE265F">
        <w:t>tasks in a range of familiar contexts.</w:t>
      </w:r>
    </w:p>
    <w:p w:rsidR="00000000" w:rsidRPr="00BE265F" w:rsidP="00B55537">
      <w:pPr>
        <w:pStyle w:val="BodyText"/>
      </w:pPr>
      <w:r w:rsidRPr="00BE265F">
        <w:t>The skills in this unit must be applied in accordance with Commonwealth and State or Territory legislation, Australian standards and industry codes of practice.</w:t>
      </w:r>
    </w:p>
    <w:p w:rsidR="00000000" w:rsidRPr="00BE265F" w:rsidP="00B55537">
      <w:pPr>
        <w:pStyle w:val="BodyText"/>
      </w:pPr>
      <w:r w:rsidRPr="00BE265F">
        <w:t>No occupational licensing, certification or specific leg</w:t>
      </w:r>
      <w:r w:rsidRPr="00BE265F">
        <w:t>islative requirements apply to this unit at the time of publication.</w:t>
      </w:r>
    </w:p>
    <w:p w:rsidR="00000000" w:rsidRPr="00BE265F" w:rsidP="00BE265F">
      <w:pPr>
        <w:pStyle w:val="Heading1"/>
      </w:pPr>
      <w:bookmarkStart w:id="3" w:name="O_1214817"/>
      <w:bookmarkEnd w:id="3"/>
      <w:r w:rsidRPr="00BE265F">
        <w:t>Pre-requisite Unit</w:t>
      </w:r>
    </w:p>
    <w:p w:rsidR="00000000" w:rsidRPr="00BE265F" w:rsidP="00B55537">
      <w:pPr>
        <w:pStyle w:val="BodyText"/>
      </w:pPr>
      <w:r w:rsidRPr="00BE265F">
        <w:t xml:space="preserve">Nil </w:t>
      </w:r>
    </w:p>
    <w:p w:rsidR="00000000" w:rsidRPr="00BE265F" w:rsidP="00BE265F">
      <w:pPr>
        <w:pStyle w:val="Heading1"/>
      </w:pPr>
      <w:bookmarkStart w:id="4" w:name="O_1214818"/>
      <w:bookmarkEnd w:id="4"/>
      <w:r w:rsidRPr="00BE265F">
        <w:t>Competency Field</w:t>
      </w:r>
    </w:p>
    <w:p w:rsidR="00000000" w:rsidRPr="00BE265F" w:rsidP="00B55537">
      <w:pPr>
        <w:pStyle w:val="BodyText"/>
      </w:pPr>
      <w:r w:rsidRPr="00BE265F">
        <w:t>Fraud control</w:t>
      </w:r>
    </w:p>
    <w:p w:rsidR="00000000" w:rsidRPr="00BE265F" w:rsidP="00BE265F">
      <w:pPr>
        <w:pStyle w:val="Heading1"/>
      </w:pPr>
      <w:bookmarkStart w:id="5" w:name="O_1214820"/>
      <w:bookmarkEnd w:id="5"/>
      <w:r w:rsidRPr="00BE26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BodyText"/>
            </w:pPr>
            <w:r w:rsidRPr="00BE265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rPr>
                <w:rStyle w:val="SpecialBold"/>
              </w:rPr>
              <w:t>PERFORMANCE</w:t>
            </w:r>
            <w:r w:rsidRPr="00BE265F">
              <w:t xml:space="preserve"> </w:t>
            </w:r>
            <w:r w:rsidRPr="00BE265F">
              <w:rPr>
                <w:rStyle w:val="SpecialBold"/>
              </w:rPr>
              <w:t>CRITERIA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BodyText"/>
            </w:pPr>
            <w:r w:rsidRPr="00BE265F">
              <w:rPr>
                <w:rStyle w:val="Emphasis"/>
              </w:rPr>
              <w:t>Elements d</w:t>
            </w:r>
            <w:r w:rsidRPr="00BE265F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List"/>
              <w:rPr>
                <w:lang w:val="en-NZ"/>
              </w:rPr>
            </w:pPr>
            <w:r w:rsidRPr="00BE265F">
              <w:t>1.  Disseminate fraud and corruption control strategy.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List"/>
            </w:pPr>
            <w:r w:rsidRPr="00BE265F">
              <w:t>1.1. Use strategies that raise the profile of fraud and corruption control to indicate its key focus in the organisation.</w:t>
            </w:r>
          </w:p>
          <w:p w:rsidR="00000000" w:rsidRPr="00BE265F" w:rsidP="00BE265F">
            <w:pPr>
              <w:pStyle w:val="List"/>
            </w:pPr>
            <w:r w:rsidRPr="00BE265F">
              <w:t>1.2. Articulate standards for the organisation in a manner suited to the level and experience of staff.</w:t>
            </w:r>
          </w:p>
          <w:p w:rsidR="00000000" w:rsidRPr="00BE265F" w:rsidP="00BE265F">
            <w:pPr>
              <w:pStyle w:val="List"/>
            </w:pPr>
            <w:r w:rsidRPr="00BE265F">
              <w:t xml:space="preserve">1.3. Articulate ways in which </w:t>
            </w:r>
            <w:r w:rsidRPr="00BE265F">
              <w:t>the fraud and corruption control strategy contributes to the achievement of organisational corporate goals.</w:t>
            </w:r>
          </w:p>
          <w:p w:rsidR="00000000" w:rsidRPr="00BE265F" w:rsidP="00BE265F">
            <w:pPr>
              <w:pStyle w:val="List"/>
            </w:pPr>
            <w:r w:rsidRPr="00BE265F">
              <w:t>1.4. Assign organisational roles and responsibilities for implementation of fraud and corruption control measures.</w:t>
            </w:r>
          </w:p>
          <w:p w:rsidR="00000000" w:rsidP="00BE265F">
            <w:pPr>
              <w:pStyle w:val="List"/>
              <w:rPr>
                <w:lang w:val="en-NZ"/>
              </w:rPr>
            </w:pPr>
            <w:r w:rsidRPr="00BE265F">
              <w:t>1.5. Select dissemination methods</w:t>
            </w:r>
            <w:r w:rsidRPr="00BE265F">
              <w:t xml:space="preserve"> to suit varied organisational audiences.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List"/>
              <w:rPr>
                <w:lang w:val="en-NZ"/>
              </w:rPr>
            </w:pPr>
            <w:r w:rsidRPr="00BE265F">
              <w:t>2.  Champion fraud and corruption control.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List"/>
            </w:pPr>
            <w:r w:rsidRPr="00BE265F">
              <w:t>2.1. Provide leadership and motivation in highlighting the role of fraud and corruption control processes.</w:t>
            </w:r>
          </w:p>
          <w:p w:rsidR="00000000" w:rsidRPr="00BE265F" w:rsidP="00BE265F">
            <w:pPr>
              <w:pStyle w:val="List"/>
            </w:pPr>
            <w:r w:rsidRPr="00BE265F">
              <w:t>2.2. Ensure the methods underpinning the championing of the fra</w:t>
            </w:r>
            <w:r w:rsidRPr="00BE265F">
              <w:t>ud and corruption control process are according to organisational policies and procedures.</w:t>
            </w:r>
          </w:p>
          <w:p w:rsidR="00000000" w:rsidRPr="00BE265F" w:rsidP="00BE265F">
            <w:pPr>
              <w:pStyle w:val="List"/>
            </w:pPr>
            <w:r w:rsidRPr="00BE265F">
              <w:t>2.3. Engender trust and confidence in fraud and corruption control activities to set a positive tone about the control of fraud and corruption control process in the</w:t>
            </w:r>
            <w:r w:rsidRPr="00BE265F">
              <w:t xml:space="preserve"> organisation.</w:t>
            </w:r>
          </w:p>
          <w:p w:rsidR="00000000" w:rsidP="00BE265F">
            <w:pPr>
              <w:pStyle w:val="List"/>
              <w:rPr>
                <w:lang w:val="en-NZ"/>
              </w:rPr>
            </w:pPr>
            <w:r w:rsidRPr="00BE265F">
              <w:t>2.4. Establish guidelines for the establishment of formal and informal networks to nurture cooperative and ethical client relationships.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List"/>
            </w:pPr>
            <w:r w:rsidRPr="00BE265F">
              <w:t>3.  Market fraud and corruption control inside and outside the organisation.</w:t>
            </w:r>
          </w:p>
          <w:p w:rsidR="00000000" w:rsidRPr="00BE265F" w:rsidP="00BE265F">
            <w:pPr>
              <w:pStyle w:val="BodyText"/>
            </w:pPr>
          </w:p>
          <w:p w:rsidR="00000000" w:rsidP="00BE265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List"/>
            </w:pPr>
            <w:r w:rsidRPr="00BE265F">
              <w:t>3.1. Identify and assess potential activities to promote the fraud and corruption control process and its importance to the overall objectives of the organisation.</w:t>
            </w:r>
          </w:p>
          <w:p w:rsidR="00000000" w:rsidRPr="00BE265F" w:rsidP="00BE265F">
            <w:pPr>
              <w:pStyle w:val="List"/>
            </w:pPr>
            <w:r w:rsidRPr="00BE265F">
              <w:t xml:space="preserve">3.2. Coordinate implementation with management and key stakeholders. </w:t>
            </w:r>
          </w:p>
          <w:p w:rsidR="00000000" w:rsidRPr="00BE265F" w:rsidP="00BE265F">
            <w:pPr>
              <w:pStyle w:val="List"/>
            </w:pPr>
            <w:r w:rsidRPr="00BE265F">
              <w:t xml:space="preserve">3.3. Encourage shared </w:t>
            </w:r>
            <w:r w:rsidRPr="00BE265F">
              <w:t>ownership of fraud and corruption processes through ongoing consultation and information sharing.</w:t>
            </w:r>
          </w:p>
          <w:p w:rsidR="00000000" w:rsidRPr="00BE265F" w:rsidP="00BE265F">
            <w:pPr>
              <w:pStyle w:val="List"/>
            </w:pPr>
            <w:r w:rsidRPr="00BE265F">
              <w:t>3.4. Organise promotional activities to raise stakeholder awareness of both the ethical and financial aspects of fraud and corruption control.</w:t>
            </w:r>
          </w:p>
          <w:p w:rsidR="00000000" w:rsidRPr="00BE265F" w:rsidP="00BE265F">
            <w:pPr>
              <w:pStyle w:val="List"/>
            </w:pPr>
            <w:r w:rsidRPr="00BE265F">
              <w:t>3.5. Monitor tr</w:t>
            </w:r>
            <w:r w:rsidRPr="00BE265F">
              <w:t>ends and use information to ensure currency in the organisation’s activities.</w:t>
            </w:r>
          </w:p>
        </w:tc>
      </w:tr>
    </w:tbl>
    <w:p w:rsidR="00000000" w:rsidRPr="00BE265F" w:rsidP="00BE265F">
      <w:pPr>
        <w:pStyle w:val="BodyText"/>
      </w:pPr>
    </w:p>
    <w:p w:rsidR="00000000" w:rsidRPr="00BE265F" w:rsidP="00BE265F">
      <w:pPr>
        <w:pStyle w:val="AllowPageBreak"/>
      </w:pPr>
    </w:p>
    <w:p w:rsidR="00000000" w:rsidRPr="00BE265F" w:rsidP="00BE265F">
      <w:pPr>
        <w:pStyle w:val="Heading1"/>
      </w:pPr>
      <w:bookmarkStart w:id="6" w:name="O_1214821"/>
      <w:bookmarkEnd w:id="6"/>
      <w:r w:rsidRPr="00BE26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t>Foundation skills essential to performance in this unit, but not explicit in the performance criteria are listed here, along with a brief c</w:t>
            </w:r>
            <w:r w:rsidRPr="00BE265F">
              <w:t>ontext statement.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BodyText"/>
            </w:pPr>
            <w:r w:rsidRPr="00BE265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rPr>
                <w:rStyle w:val="SpecialBold"/>
              </w:rPr>
              <w:t>DESCRIPTION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ListBullet"/>
              <w:rPr>
                <w:lang w:val="en-NZ"/>
              </w:rPr>
            </w:pPr>
            <w:r w:rsidRPr="00BE265F">
              <w:t>analyse and interpret complex information relating to fraud and corruption control.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ListBullet"/>
              <w:rPr>
                <w:lang w:val="en-NZ"/>
              </w:rPr>
            </w:pPr>
            <w:r w:rsidRPr="00BE265F">
              <w:t>communicate complex ideas matching style of writing and information to purpose and audience.</w:t>
            </w:r>
          </w:p>
        </w:tc>
      </w:tr>
      <w:tr w:rsidTr="00BE2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5F">
            <w:pPr>
              <w:pStyle w:val="BodyText"/>
              <w:rPr>
                <w:lang w:val="en-NZ"/>
              </w:rPr>
            </w:pPr>
            <w:r w:rsidRPr="00BE265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5F" w:rsidP="00BE265F">
            <w:pPr>
              <w:pStyle w:val="ListBullet"/>
            </w:pPr>
            <w:r w:rsidRPr="00BE265F">
              <w:t>use communication, negotiation and presentation styles to suit different audiences and purposes.</w:t>
            </w:r>
          </w:p>
        </w:tc>
      </w:tr>
    </w:tbl>
    <w:p w:rsidR="00000000" w:rsidRPr="00BE265F" w:rsidP="00BE265F">
      <w:pPr>
        <w:pStyle w:val="BodyText"/>
      </w:pPr>
    </w:p>
    <w:p w:rsidR="00000000" w:rsidRPr="00BE265F" w:rsidP="00BE265F">
      <w:pPr>
        <w:pStyle w:val="AllowPageBreak"/>
      </w:pPr>
    </w:p>
    <w:p w:rsidR="00000000" w:rsidRPr="00BE265F" w:rsidP="00BE265F">
      <w:pPr>
        <w:pStyle w:val="Heading1"/>
      </w:pPr>
      <w:bookmarkStart w:id="7" w:name="O_1214823"/>
      <w:bookmarkEnd w:id="7"/>
      <w:r w:rsidRPr="00BE265F">
        <w:t>Unit Mapping Information</w:t>
      </w:r>
    </w:p>
    <w:p w:rsidR="00000000" w:rsidRPr="00BE265F" w:rsidP="00B55537">
      <w:pPr>
        <w:pStyle w:val="BodyText"/>
      </w:pPr>
      <w:r w:rsidRPr="00BE265F">
        <w:t>Supersedes and is equivalent to PSPFRU011 Manage fraud control awareness.</w:t>
      </w:r>
    </w:p>
    <w:p w:rsidR="00000000" w:rsidRPr="00BE265F" w:rsidP="00BE265F">
      <w:pPr>
        <w:pStyle w:val="Heading1"/>
      </w:pPr>
      <w:bookmarkStart w:id="8" w:name="O_1214830"/>
      <w:bookmarkEnd w:id="8"/>
      <w:r w:rsidRPr="00BE265F">
        <w:t>Links</w:t>
      </w:r>
    </w:p>
    <w:p w:rsidR="00000000" w:rsidRPr="00BE265F" w:rsidP="00B55537">
      <w:pPr>
        <w:pStyle w:val="BodyText"/>
      </w:pPr>
      <w:r w:rsidRPr="00BE2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2069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265F" w:rsidP="00BE265F"/>
    <w:sectPr w:rsidSect="00BE26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5F" w:rsidRPr="00B55537" w:rsidP="00B55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37" w:rsidP="00BE2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537" w:rsidP="00BE2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5537" w:rsidP="00BE2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65F" w:rsidRPr="00B55537" w:rsidP="00B55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537" w:rsidRPr="002D2AF8" w:rsidP="00BE2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PSPFRU016 Manage fraud control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55537" w:rsidP="00BE2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76F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6B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65F"/>
  </w:style>
  <w:style w:type="character" w:customStyle="1" w:styleId="Heading1Char">
    <w:name w:val="Heading 1 Char"/>
    <w:basedOn w:val="DefaultParagraphFont"/>
    <w:link w:val="Heading1"/>
    <w:rsid w:val="00BE2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6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2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6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65F"/>
    <w:rPr>
      <w:b/>
      <w:spacing w:val="0"/>
    </w:rPr>
  </w:style>
  <w:style w:type="character" w:styleId="Emphasis">
    <w:name w:val="Emphasis"/>
    <w:basedOn w:val="DefaultParagraphFont"/>
    <w:qFormat/>
    <w:rsid w:val="00BE265F"/>
    <w:rPr>
      <w:i/>
    </w:rPr>
  </w:style>
  <w:style w:type="paragraph" w:customStyle="1" w:styleId="SuperHeading">
    <w:name w:val="SuperHeading"/>
    <w:basedOn w:val="Normal"/>
    <w:rsid w:val="00BE2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6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2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6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65F"/>
  </w:style>
  <w:style w:type="paragraph" w:styleId="TableofFigures">
    <w:name w:val="table of figures"/>
    <w:basedOn w:val="Normal"/>
    <w:next w:val="Normal"/>
    <w:semiHidden/>
    <w:rsid w:val="00BE2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6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265F"/>
    <w:rPr>
      <w:rFonts w:ascii="Wingdings" w:hAnsi="Wingdings"/>
    </w:rPr>
  </w:style>
  <w:style w:type="paragraph" w:customStyle="1" w:styleId="TableHeading">
    <w:name w:val="Table Heading"/>
    <w:basedOn w:val="HeadingBase"/>
    <w:rsid w:val="00BE2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65F"/>
    <w:rPr>
      <w:color w:val="0033CC"/>
      <w:u w:val="none"/>
    </w:rPr>
  </w:style>
  <w:style w:type="paragraph" w:customStyle="1" w:styleId="BodyTextRight">
    <w:name w:val="Body Text Right"/>
    <w:basedOn w:val="BodyText"/>
    <w:rsid w:val="00BE2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6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65F"/>
    <w:rPr>
      <w:sz w:val="32"/>
    </w:rPr>
  </w:style>
  <w:style w:type="paragraph" w:customStyle="1" w:styleId="HeadingProcedure">
    <w:name w:val="Heading Procedure"/>
    <w:basedOn w:val="HeadingBase"/>
    <w:next w:val="Normal"/>
    <w:rsid w:val="00BE2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65F"/>
    <w:pPr>
      <w:spacing w:before="60" w:after="60"/>
    </w:pPr>
  </w:style>
  <w:style w:type="paragraph" w:styleId="ListContinue">
    <w:name w:val="List Continue"/>
    <w:basedOn w:val="List"/>
    <w:rsid w:val="00BE265F"/>
    <w:pPr>
      <w:ind w:firstLine="0"/>
    </w:pPr>
  </w:style>
  <w:style w:type="paragraph" w:customStyle="1" w:styleId="ListNote">
    <w:name w:val="List Note"/>
    <w:basedOn w:val="List"/>
    <w:rsid w:val="00BE2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65F"/>
    <w:rPr>
      <w:rFonts w:ascii="Courier New" w:hAnsi="Courier New"/>
    </w:rPr>
  </w:style>
  <w:style w:type="paragraph" w:customStyle="1" w:styleId="NoteBullet">
    <w:name w:val="Note Bullet"/>
    <w:basedOn w:val="Note"/>
    <w:rsid w:val="00BE2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6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65F"/>
    <w:rPr>
      <w:b/>
      <w:smallCaps/>
    </w:rPr>
  </w:style>
  <w:style w:type="paragraph" w:customStyle="1" w:styleId="TableListNumber">
    <w:name w:val="Table List Number"/>
    <w:basedOn w:val="ListNumber"/>
    <w:rsid w:val="00BE2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65F"/>
    <w:pPr>
      <w:numPr>
        <w:numId w:val="8"/>
      </w:numPr>
    </w:pPr>
  </w:style>
  <w:style w:type="paragraph" w:customStyle="1" w:styleId="ListAlpha2">
    <w:name w:val="List Alpha 2"/>
    <w:basedOn w:val="List2"/>
    <w:rsid w:val="00BE265F"/>
    <w:pPr>
      <w:numPr>
        <w:numId w:val="7"/>
      </w:numPr>
    </w:pPr>
  </w:style>
  <w:style w:type="paragraph" w:styleId="List2">
    <w:name w:val="List 2"/>
    <w:basedOn w:val="BodyText"/>
    <w:rsid w:val="00BE2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6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6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265F"/>
    <w:pPr>
      <w:numPr>
        <w:numId w:val="3"/>
      </w:numPr>
    </w:pPr>
  </w:style>
  <w:style w:type="paragraph" w:styleId="ListContinue2">
    <w:name w:val="List Continue 2"/>
    <w:basedOn w:val="List2"/>
    <w:rsid w:val="00BE265F"/>
    <w:pPr>
      <w:ind w:firstLine="0"/>
    </w:pPr>
  </w:style>
  <w:style w:type="paragraph" w:styleId="ListContinue3">
    <w:name w:val="List Continue 3"/>
    <w:basedOn w:val="List3"/>
    <w:rsid w:val="00BE265F"/>
    <w:pPr>
      <w:ind w:left="1021" w:firstLine="0"/>
    </w:pPr>
  </w:style>
  <w:style w:type="paragraph" w:styleId="ListContinue4">
    <w:name w:val="List Continue 4"/>
    <w:basedOn w:val="List4"/>
    <w:rsid w:val="00BE265F"/>
    <w:pPr>
      <w:ind w:firstLine="0"/>
    </w:pPr>
  </w:style>
  <w:style w:type="paragraph" w:styleId="ListContinue5">
    <w:name w:val="List Continue 5"/>
    <w:basedOn w:val="List5"/>
    <w:rsid w:val="00BE265F"/>
    <w:pPr>
      <w:ind w:firstLine="0"/>
    </w:pPr>
  </w:style>
  <w:style w:type="paragraph" w:styleId="ListNumber3">
    <w:name w:val="List Number 3"/>
    <w:basedOn w:val="List3"/>
    <w:rsid w:val="00BE265F"/>
    <w:pPr>
      <w:numPr>
        <w:numId w:val="4"/>
      </w:numPr>
    </w:pPr>
  </w:style>
  <w:style w:type="paragraph" w:styleId="ListNumber4">
    <w:name w:val="List Number 4"/>
    <w:basedOn w:val="List4"/>
    <w:rsid w:val="00BE265F"/>
    <w:pPr>
      <w:numPr>
        <w:numId w:val="5"/>
      </w:numPr>
    </w:pPr>
  </w:style>
  <w:style w:type="paragraph" w:styleId="ListNumber5">
    <w:name w:val="List Number 5"/>
    <w:basedOn w:val="List5"/>
    <w:rsid w:val="00BE265F"/>
    <w:pPr>
      <w:numPr>
        <w:numId w:val="6"/>
      </w:numPr>
    </w:pPr>
  </w:style>
  <w:style w:type="paragraph" w:styleId="BlockText">
    <w:name w:val="Block Text"/>
    <w:basedOn w:val="Normal"/>
    <w:rsid w:val="00BE2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65F"/>
    <w:rPr>
      <w:sz w:val="16"/>
      <w:vertAlign w:val="superscript"/>
    </w:rPr>
  </w:style>
  <w:style w:type="character" w:customStyle="1" w:styleId="Symbols">
    <w:name w:val="Symbols"/>
    <w:basedOn w:val="DefaultParagraphFont"/>
    <w:rsid w:val="00BE265F"/>
    <w:rPr>
      <w:rFonts w:ascii="Symbol" w:hAnsi="Symbol"/>
    </w:rPr>
  </w:style>
  <w:style w:type="character" w:customStyle="1" w:styleId="MenuOptions">
    <w:name w:val="Menu Options"/>
    <w:basedOn w:val="DefaultParagraphFont"/>
    <w:rsid w:val="00BE2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65F"/>
    <w:rPr>
      <w:b/>
    </w:rPr>
  </w:style>
  <w:style w:type="character" w:customStyle="1" w:styleId="Underlined">
    <w:name w:val="Underlined"/>
    <w:basedOn w:val="DefaultParagraphFont"/>
    <w:rsid w:val="00BE265F"/>
    <w:rPr>
      <w:u w:val="single"/>
    </w:rPr>
  </w:style>
  <w:style w:type="paragraph" w:customStyle="1" w:styleId="TableBodyTextRight">
    <w:name w:val="Table Body Text Right"/>
    <w:basedOn w:val="TableBodyText"/>
    <w:rsid w:val="00BE2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65F"/>
    <w:rPr>
      <w:sz w:val="18"/>
    </w:rPr>
  </w:style>
  <w:style w:type="paragraph" w:customStyle="1" w:styleId="BodySmallRight">
    <w:name w:val="Body Small Right"/>
    <w:basedOn w:val="BodyTextRight"/>
    <w:rsid w:val="00BE265F"/>
    <w:rPr>
      <w:sz w:val="18"/>
      <w:szCs w:val="18"/>
    </w:rPr>
  </w:style>
  <w:style w:type="paragraph" w:customStyle="1" w:styleId="MarginEdition">
    <w:name w:val="Margin Edition"/>
    <w:basedOn w:val="MarginNote"/>
    <w:rsid w:val="00BE2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65F"/>
    <w:rPr>
      <w:sz w:val="2"/>
      <w:szCs w:val="2"/>
    </w:rPr>
  </w:style>
  <w:style w:type="character" w:customStyle="1" w:styleId="Small">
    <w:name w:val="Small"/>
    <w:basedOn w:val="DefaultParagraphFont"/>
    <w:rsid w:val="00BE265F"/>
    <w:rPr>
      <w:sz w:val="16"/>
    </w:rPr>
  </w:style>
  <w:style w:type="paragraph" w:customStyle="1" w:styleId="WideTable">
    <w:name w:val="Wide Table"/>
    <w:basedOn w:val="Normal"/>
    <w:rsid w:val="00BE2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65F"/>
  </w:style>
  <w:style w:type="paragraph" w:styleId="Quote">
    <w:name w:val="Quote"/>
    <w:basedOn w:val="Heading1"/>
    <w:link w:val="QuoteChar"/>
    <w:qFormat/>
    <w:rsid w:val="00BE2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65F"/>
    <w:pPr>
      <w:pageBreakBefore/>
    </w:pPr>
  </w:style>
  <w:style w:type="paragraph" w:customStyle="1" w:styleId="Border">
    <w:name w:val="Border"/>
    <w:basedOn w:val="Normal"/>
    <w:qFormat/>
    <w:rsid w:val="00BE2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65F"/>
    <w:rPr>
      <w:u w:val="single"/>
    </w:rPr>
  </w:style>
  <w:style w:type="character" w:customStyle="1" w:styleId="BoldandItalics">
    <w:name w:val="Bold and Italics"/>
    <w:qFormat/>
    <w:rsid w:val="00BE265F"/>
    <w:rPr>
      <w:b/>
      <w:i/>
      <w:u w:val="none"/>
    </w:rPr>
  </w:style>
  <w:style w:type="paragraph" w:styleId="BalloonText">
    <w:name w:val="Balloon Text"/>
    <w:basedOn w:val="Normal"/>
    <w:link w:val="BalloonTextChar"/>
    <w:rsid w:val="00BE2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65F"/>
    <w:pPr>
      <w:spacing w:before="0" w:after="0"/>
    </w:pPr>
  </w:style>
  <w:style w:type="paragraph" w:customStyle="1" w:styleId="BodyTextBold">
    <w:name w:val="Body Text Bold"/>
    <w:basedOn w:val="BodyText"/>
    <w:qFormat/>
    <w:rsid w:val="00BE265F"/>
    <w:rPr>
      <w:b/>
    </w:rPr>
  </w:style>
  <w:style w:type="character" w:styleId="Hyperlink">
    <w:name w:val="Hyperlink"/>
    <w:basedOn w:val="DefaultParagraphFont"/>
    <w:uiPriority w:val="99"/>
    <w:unhideWhenUsed/>
    <w:rsid w:val="00B55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3491</Characters>
  <Application>Microsoft Office Word</Application>
  <DocSecurity>0</DocSecurity>
  <Lines>112</Lines>
  <Paragraphs>60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PSPFRU016 Manage fraud control awareness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