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243" w:rsidP="00906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PSPFRU016 Manage fraud control awareness</w:t>
      </w:r>
      <w:r>
        <w:fldChar w:fldCharType="end"/>
      </w:r>
    </w:p>
    <w:p w:rsidR="00906243" w:rsidP="00906243">
      <w:pPr>
        <w:pStyle w:val="Version"/>
        <w:sectPr w:rsidSect="00306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3F1" w:rsidP="003063F1">
      <w:pPr>
        <w:pStyle w:val="SuperHeading"/>
      </w:pPr>
      <w:r w:rsidRPr="003063F1">
        <w:t>PSPFRU016 Manage fraud control awareness</w:t>
      </w:r>
    </w:p>
    <w:p w:rsidR="00000000" w:rsidRPr="003063F1" w:rsidP="003063F1">
      <w:pPr>
        <w:pStyle w:val="Heading1"/>
      </w:pPr>
      <w:bookmarkStart w:id="1" w:name="O_1214815"/>
      <w:bookmarkEnd w:id="1"/>
      <w:r w:rsidRPr="003063F1">
        <w:t>Modification History</w:t>
      </w:r>
    </w:p>
    <w:p w:rsidR="00000000" w:rsidRPr="003063F1" w:rsidP="00906243">
      <w:pPr>
        <w:pStyle w:val="BodyText"/>
      </w:pPr>
      <w:r w:rsidRPr="003063F1">
        <w:t>Supersedes and is equivalent to PSPFRU011 Manage fraud control awareness.</w:t>
      </w:r>
    </w:p>
    <w:p w:rsidR="00000000" w:rsidRPr="003063F1" w:rsidP="003063F1">
      <w:pPr>
        <w:pStyle w:val="Heading1"/>
      </w:pPr>
      <w:bookmarkStart w:id="2" w:name="O_1214816"/>
      <w:bookmarkEnd w:id="2"/>
      <w:r w:rsidRPr="003063F1">
        <w:t>Application</w:t>
      </w:r>
    </w:p>
    <w:p w:rsidR="00000000" w:rsidRPr="003063F1" w:rsidP="00906243">
      <w:pPr>
        <w:pStyle w:val="BodyText"/>
      </w:pPr>
      <w:r w:rsidRPr="003063F1">
        <w:t>This unit describes the performance outcomes, skills and knowledge required to promote and disseminate the organisation’s approach</w:t>
      </w:r>
      <w:r w:rsidRPr="003063F1">
        <w:t xml:space="preserve"> to fraud and corruption control to internal and external clients and the broader community. </w:t>
      </w:r>
    </w:p>
    <w:p w:rsidR="00000000" w:rsidRPr="003063F1" w:rsidP="00906243">
      <w:pPr>
        <w:pStyle w:val="BodyText"/>
      </w:pPr>
      <w:r w:rsidRPr="003063F1">
        <w:t xml:space="preserve">This unit applies to those working autonomously in management roles involving the promotion of fraud control awareness. They supervise others and perform complex </w:t>
      </w:r>
      <w:r w:rsidRPr="003063F1">
        <w:t>tasks in a range of familiar contexts.</w:t>
      </w:r>
    </w:p>
    <w:p w:rsidR="00000000" w:rsidRPr="003063F1" w:rsidP="00906243">
      <w:pPr>
        <w:pStyle w:val="BodyText"/>
      </w:pPr>
      <w:r w:rsidRPr="003063F1">
        <w:t>The skills in this unit must be applied in accordance with Commonwealth and State or Territory legislation, Australian standards and industry codes of practice.</w:t>
      </w:r>
    </w:p>
    <w:p w:rsidR="00000000" w:rsidRPr="003063F1" w:rsidP="00906243">
      <w:pPr>
        <w:pStyle w:val="BodyText"/>
      </w:pPr>
      <w:r w:rsidRPr="003063F1">
        <w:t>No occupational licensing, certification or specific leg</w:t>
      </w:r>
      <w:r w:rsidRPr="003063F1">
        <w:t>islative requirements apply to this unit at the time of publication.</w:t>
      </w:r>
    </w:p>
    <w:p w:rsidR="00000000" w:rsidRPr="003063F1" w:rsidP="003063F1">
      <w:pPr>
        <w:pStyle w:val="Heading1"/>
      </w:pPr>
      <w:bookmarkStart w:id="3" w:name="O_1214817"/>
      <w:bookmarkEnd w:id="3"/>
      <w:r w:rsidRPr="003063F1">
        <w:t>Pre-requisite Unit</w:t>
      </w:r>
    </w:p>
    <w:p w:rsidR="00000000" w:rsidRPr="003063F1" w:rsidP="00906243">
      <w:pPr>
        <w:pStyle w:val="BodyText"/>
      </w:pPr>
      <w:r w:rsidRPr="003063F1">
        <w:t xml:space="preserve">Nil </w:t>
      </w:r>
    </w:p>
    <w:p w:rsidR="00000000" w:rsidRPr="003063F1" w:rsidP="003063F1">
      <w:pPr>
        <w:pStyle w:val="Heading1"/>
      </w:pPr>
      <w:bookmarkStart w:id="4" w:name="O_1214818"/>
      <w:bookmarkEnd w:id="4"/>
      <w:r w:rsidRPr="003063F1">
        <w:t>Competency Field</w:t>
      </w:r>
    </w:p>
    <w:p w:rsidR="00000000" w:rsidRPr="003063F1" w:rsidP="00906243">
      <w:pPr>
        <w:pStyle w:val="BodyText"/>
      </w:pPr>
      <w:r w:rsidRPr="003063F1">
        <w:t>Fraud control</w:t>
      </w:r>
    </w:p>
    <w:p w:rsidR="00000000" w:rsidRPr="003063F1" w:rsidP="003063F1">
      <w:pPr>
        <w:pStyle w:val="Heading1"/>
      </w:pPr>
      <w:bookmarkStart w:id="5" w:name="O_1214820"/>
      <w:bookmarkEnd w:id="5"/>
      <w:r w:rsidRPr="003063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BodyText"/>
            </w:pPr>
            <w:r w:rsidRPr="003063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rPr>
                <w:rStyle w:val="SpecialBold"/>
              </w:rPr>
              <w:t>PERFORMANCE</w:t>
            </w:r>
            <w:r w:rsidRPr="003063F1">
              <w:t xml:space="preserve"> </w:t>
            </w:r>
            <w:r w:rsidRPr="003063F1">
              <w:rPr>
                <w:rStyle w:val="SpecialBold"/>
              </w:rPr>
              <w:t>CRITERIA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BodyText"/>
            </w:pPr>
            <w:r w:rsidRPr="003063F1">
              <w:rPr>
                <w:rStyle w:val="Emphasis"/>
              </w:rPr>
              <w:t>Elements d</w:t>
            </w:r>
            <w:r w:rsidRPr="003063F1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List"/>
              <w:rPr>
                <w:lang w:val="en-NZ"/>
              </w:rPr>
            </w:pPr>
            <w:r w:rsidRPr="003063F1">
              <w:t>1.  Disseminate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List"/>
            </w:pPr>
            <w:r w:rsidRPr="003063F1">
              <w:t>1.1. Use strategies that raise the profile of fraud and corruption control to indicate its key focus in the organisation.</w:t>
            </w:r>
          </w:p>
          <w:p w:rsidR="00000000" w:rsidRPr="003063F1" w:rsidP="003063F1">
            <w:pPr>
              <w:pStyle w:val="List"/>
            </w:pPr>
            <w:r w:rsidRPr="003063F1">
              <w:t>1.2. Articulate standards for the organisation in a manner suited to the level and experience of staff.</w:t>
            </w:r>
          </w:p>
          <w:p w:rsidR="00000000" w:rsidRPr="003063F1" w:rsidP="003063F1">
            <w:pPr>
              <w:pStyle w:val="List"/>
            </w:pPr>
            <w:r w:rsidRPr="003063F1">
              <w:t xml:space="preserve">1.3. Articulate ways in which </w:t>
            </w:r>
            <w:r w:rsidRPr="003063F1">
              <w:t>the fraud and corruption control strategy contributes to the achievement of organisational corporate goals.</w:t>
            </w:r>
          </w:p>
          <w:p w:rsidR="00000000" w:rsidRPr="003063F1" w:rsidP="003063F1">
            <w:pPr>
              <w:pStyle w:val="List"/>
            </w:pPr>
            <w:r w:rsidRPr="003063F1">
              <w:t>1.4. Assign organisational roles and responsibilities for implementation of fraud and corruption control measures.</w:t>
            </w:r>
          </w:p>
          <w:p w:rsidR="00000000" w:rsidP="003063F1">
            <w:pPr>
              <w:pStyle w:val="List"/>
              <w:rPr>
                <w:lang w:val="en-NZ"/>
              </w:rPr>
            </w:pPr>
            <w:r w:rsidRPr="003063F1">
              <w:t>1.5. Select dissemination methods</w:t>
            </w:r>
            <w:r w:rsidRPr="003063F1">
              <w:t xml:space="preserve"> to suit varied organisational audiences.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List"/>
              <w:rPr>
                <w:lang w:val="en-NZ"/>
              </w:rPr>
            </w:pPr>
            <w:r w:rsidRPr="003063F1">
              <w:t>2.  Champion fraud and corruption control.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List"/>
            </w:pPr>
            <w:r w:rsidRPr="003063F1">
              <w:t>2.1. Provide leadership and motivation in highlighting the role of fraud and corruption control processes.</w:t>
            </w:r>
          </w:p>
          <w:p w:rsidR="00000000" w:rsidRPr="003063F1" w:rsidP="003063F1">
            <w:pPr>
              <w:pStyle w:val="List"/>
            </w:pPr>
            <w:r w:rsidRPr="003063F1">
              <w:t>2.2. Ensure the methods underpinning the championing of the fra</w:t>
            </w:r>
            <w:r w:rsidRPr="003063F1">
              <w:t>ud and corruption control process are according to organisational policies and procedures.</w:t>
            </w:r>
          </w:p>
          <w:p w:rsidR="00000000" w:rsidRPr="003063F1" w:rsidP="003063F1">
            <w:pPr>
              <w:pStyle w:val="List"/>
            </w:pPr>
            <w:r w:rsidRPr="003063F1">
              <w:t>2.3. Engender trust and confidence in fraud and corruption control activities to set a positive tone about the control of fraud and corruption control process in the</w:t>
            </w:r>
            <w:r w:rsidRPr="003063F1">
              <w:t xml:space="preserve"> organisation.</w:t>
            </w:r>
          </w:p>
          <w:p w:rsidR="00000000" w:rsidP="003063F1">
            <w:pPr>
              <w:pStyle w:val="List"/>
              <w:rPr>
                <w:lang w:val="en-NZ"/>
              </w:rPr>
            </w:pPr>
            <w:r w:rsidRPr="003063F1">
              <w:t>2.4. Establish guidelines for the establishment of formal and informal networks to nurture cooperative and ethical client relationships.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List"/>
            </w:pPr>
            <w:r w:rsidRPr="003063F1">
              <w:t>3.  Market fraud and corruption control inside and outside the organisation.</w:t>
            </w:r>
          </w:p>
          <w:p w:rsidR="00000000" w:rsidRPr="003063F1" w:rsidP="003063F1">
            <w:pPr>
              <w:pStyle w:val="BodyText"/>
            </w:pPr>
          </w:p>
          <w:p w:rsidR="00000000" w:rsidP="003063F1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List"/>
            </w:pPr>
            <w:r w:rsidRPr="003063F1">
              <w:t>3.1. Identify and assess potential activities to promote the fraud and corruption control process and its importance to the overall objectives of the organisation.</w:t>
            </w:r>
          </w:p>
          <w:p w:rsidR="00000000" w:rsidRPr="003063F1" w:rsidP="003063F1">
            <w:pPr>
              <w:pStyle w:val="List"/>
            </w:pPr>
            <w:r w:rsidRPr="003063F1">
              <w:t xml:space="preserve">3.2. Coordinate implementation with management and key stakeholders. </w:t>
            </w:r>
          </w:p>
          <w:p w:rsidR="00000000" w:rsidRPr="003063F1" w:rsidP="003063F1">
            <w:pPr>
              <w:pStyle w:val="List"/>
            </w:pPr>
            <w:r w:rsidRPr="003063F1">
              <w:t xml:space="preserve">3.3. Encourage shared </w:t>
            </w:r>
            <w:r w:rsidRPr="003063F1">
              <w:t>ownership of fraud and corruption processes through ongoing consultation and information sharing.</w:t>
            </w:r>
          </w:p>
          <w:p w:rsidR="00000000" w:rsidRPr="003063F1" w:rsidP="003063F1">
            <w:pPr>
              <w:pStyle w:val="List"/>
            </w:pPr>
            <w:r w:rsidRPr="003063F1">
              <w:t>3.4. Organise promotional activities to raise stakeholder awareness of both the ethical and financial aspects of fraud and corruption control.</w:t>
            </w:r>
          </w:p>
          <w:p w:rsidR="00000000" w:rsidRPr="003063F1" w:rsidP="003063F1">
            <w:pPr>
              <w:pStyle w:val="List"/>
            </w:pPr>
            <w:r w:rsidRPr="003063F1">
              <w:t>3.5. Monitor tr</w:t>
            </w:r>
            <w:r w:rsidRPr="003063F1">
              <w:t>ends and use information to ensure currency in the organisation’s activities.</w:t>
            </w:r>
          </w:p>
        </w:tc>
      </w:tr>
    </w:tbl>
    <w:p w:rsidR="00000000" w:rsidRPr="003063F1" w:rsidP="003063F1">
      <w:pPr>
        <w:pStyle w:val="BodyText"/>
      </w:pPr>
    </w:p>
    <w:p w:rsidR="00000000" w:rsidRPr="003063F1" w:rsidP="003063F1">
      <w:pPr>
        <w:pStyle w:val="AllowPageBreak"/>
      </w:pPr>
    </w:p>
    <w:p w:rsidR="00000000" w:rsidRPr="003063F1" w:rsidP="003063F1">
      <w:pPr>
        <w:pStyle w:val="Heading1"/>
      </w:pPr>
      <w:bookmarkStart w:id="6" w:name="O_1214821"/>
      <w:bookmarkEnd w:id="6"/>
      <w:r w:rsidRPr="003063F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t>Foundation skills essential to performance in this unit, but not explicit in the performance criteria are listed here, along with a brief c</w:t>
            </w:r>
            <w:r w:rsidRPr="003063F1">
              <w:t>ontext statement.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BodyText"/>
            </w:pPr>
            <w:r w:rsidRPr="003063F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rPr>
                <w:rStyle w:val="SpecialBold"/>
              </w:rPr>
              <w:t>DESCRIPTION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ListBullet"/>
              <w:rPr>
                <w:lang w:val="en-NZ"/>
              </w:rPr>
            </w:pPr>
            <w:r w:rsidRPr="003063F1">
              <w:t>analyse and interpret complex information relating to fraud and corruption control.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ListBullet"/>
              <w:rPr>
                <w:lang w:val="en-NZ"/>
              </w:rPr>
            </w:pPr>
            <w:r w:rsidRPr="003063F1">
              <w:t>communicate complex ideas matchin</w:t>
            </w:r>
            <w:r w:rsidRPr="003063F1">
              <w:t>g style of writing and information to purpose and audience.</w:t>
            </w:r>
          </w:p>
        </w:tc>
      </w:tr>
      <w:tr w:rsidTr="00306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F1">
            <w:pPr>
              <w:pStyle w:val="BodyText"/>
              <w:rPr>
                <w:lang w:val="en-NZ"/>
              </w:rPr>
            </w:pPr>
            <w:r w:rsidRPr="003063F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F1" w:rsidP="003063F1">
            <w:pPr>
              <w:pStyle w:val="ListBullet"/>
            </w:pPr>
            <w:r w:rsidRPr="003063F1">
              <w:t>use communication, negotiation and presentation styles to suit different audiences and purposes.</w:t>
            </w:r>
          </w:p>
        </w:tc>
      </w:tr>
    </w:tbl>
    <w:p w:rsidR="00000000" w:rsidRPr="003063F1" w:rsidP="003063F1">
      <w:pPr>
        <w:pStyle w:val="BodyText"/>
      </w:pPr>
    </w:p>
    <w:p w:rsidR="00000000" w:rsidRPr="003063F1" w:rsidP="003063F1">
      <w:pPr>
        <w:pStyle w:val="AllowPageBreak"/>
      </w:pPr>
    </w:p>
    <w:p w:rsidR="00000000" w:rsidRPr="003063F1" w:rsidP="003063F1">
      <w:pPr>
        <w:pStyle w:val="Heading1"/>
      </w:pPr>
      <w:bookmarkStart w:id="7" w:name="O_1214823"/>
      <w:bookmarkEnd w:id="7"/>
      <w:r w:rsidRPr="003063F1">
        <w:t>Unit Mapping Information</w:t>
      </w:r>
    </w:p>
    <w:p w:rsidR="00000000" w:rsidRPr="003063F1" w:rsidP="00906243">
      <w:pPr>
        <w:pStyle w:val="BodyText"/>
      </w:pPr>
      <w:r w:rsidRPr="003063F1">
        <w:t>Supersedes and is equivalent to PSPFRU011 Manage fraud control awareness.</w:t>
      </w:r>
    </w:p>
    <w:p w:rsidR="00000000" w:rsidRPr="003063F1" w:rsidP="003063F1">
      <w:pPr>
        <w:pStyle w:val="Heading1"/>
      </w:pPr>
      <w:bookmarkStart w:id="8" w:name="O_1214830"/>
      <w:bookmarkEnd w:id="8"/>
      <w:r w:rsidRPr="003063F1">
        <w:t>Links</w:t>
      </w:r>
    </w:p>
    <w:p w:rsidR="00000000" w:rsidRPr="003063F1" w:rsidP="00906243">
      <w:pPr>
        <w:pStyle w:val="BodyText"/>
      </w:pPr>
      <w:r w:rsidRPr="00306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28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63F1" w:rsidP="00906243">
      <w:pPr>
        <w:pStyle w:val="BodyText"/>
        <w:sectPr w:rsidSect="003063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63F1" w:rsidP="003063F1">
      <w:pPr>
        <w:pStyle w:val="SuperHeading"/>
      </w:pPr>
      <w:r w:rsidRPr="003063F1">
        <w:t>Assessment Requirements for PSPFRU016 Manage fraud control awareness</w:t>
      </w:r>
    </w:p>
    <w:p w:rsidR="00000000" w:rsidRPr="003063F1" w:rsidP="003063F1">
      <w:pPr>
        <w:pStyle w:val="Heading1"/>
      </w:pPr>
      <w:bookmarkStart w:id="9" w:name="O_1214825"/>
      <w:bookmarkEnd w:id="9"/>
      <w:r w:rsidRPr="003063F1">
        <w:t>Modification History</w:t>
      </w:r>
    </w:p>
    <w:p w:rsidR="00000000" w:rsidRPr="003063F1" w:rsidP="00906243">
      <w:pPr>
        <w:pStyle w:val="BodyText"/>
      </w:pPr>
      <w:r w:rsidRPr="003063F1">
        <w:t>Supersedes and is equivalent to PSPFRU011 Manage fraud control awareness.</w:t>
      </w:r>
    </w:p>
    <w:p w:rsidR="00000000" w:rsidRPr="003063F1" w:rsidP="003063F1">
      <w:pPr>
        <w:pStyle w:val="Heading1"/>
      </w:pPr>
      <w:bookmarkStart w:id="10" w:name="O_1214826"/>
      <w:bookmarkEnd w:id="10"/>
      <w:r w:rsidRPr="003063F1">
        <w:t>Performan</w:t>
      </w:r>
      <w:r w:rsidRPr="003063F1">
        <w:t>ce Evidence</w:t>
      </w:r>
    </w:p>
    <w:p w:rsidR="00000000" w:rsidRPr="003063F1" w:rsidP="00906243">
      <w:pPr>
        <w:pStyle w:val="BodyText"/>
      </w:pPr>
      <w:r w:rsidRPr="003063F1">
        <w:t>Evidence of the ability to complete tasks outlined in elements and performance criteria of this unit in the context of the job role, and on at least one occasion:</w:t>
      </w:r>
    </w:p>
    <w:p w:rsidR="00000000" w:rsidRPr="003063F1" w:rsidP="003063F1">
      <w:pPr>
        <w:pStyle w:val="ListBullet"/>
      </w:pPr>
      <w:r w:rsidRPr="003063F1">
        <w:t xml:space="preserve">lead others in the delivery of fraud and corruption awareness promotion </w:t>
      </w:r>
    </w:p>
    <w:p w:rsidR="00000000" w:rsidRPr="003063F1" w:rsidP="003063F1">
      <w:pPr>
        <w:pStyle w:val="ListBullet"/>
      </w:pPr>
      <w:r w:rsidRPr="003063F1">
        <w:t>synthesise and articulate fraud and corruption policy issues to either staff, internal or external clients or the broader community.</w:t>
      </w:r>
    </w:p>
    <w:p w:rsidR="00000000" w:rsidRPr="003063F1" w:rsidP="003063F1">
      <w:pPr>
        <w:pStyle w:val="AllowPageBreak"/>
      </w:pPr>
    </w:p>
    <w:p w:rsidR="00000000" w:rsidRPr="003063F1" w:rsidP="003063F1">
      <w:pPr>
        <w:pStyle w:val="Heading1"/>
      </w:pPr>
      <w:bookmarkStart w:id="11" w:name="O_1214827"/>
      <w:bookmarkEnd w:id="11"/>
      <w:r w:rsidRPr="003063F1">
        <w:t>Knowledge Evidence</w:t>
      </w:r>
    </w:p>
    <w:p w:rsidR="00000000" w:rsidRPr="003063F1" w:rsidP="00906243">
      <w:pPr>
        <w:pStyle w:val="BodyText"/>
      </w:pPr>
      <w:r w:rsidRPr="003063F1">
        <w:t>Demonstrated knowledge required to complete the tasks outlined in elements and perfor</w:t>
      </w:r>
      <w:r w:rsidRPr="003063F1">
        <w:t>mance criteria of this unit:</w:t>
      </w:r>
    </w:p>
    <w:p w:rsidR="00000000" w:rsidRPr="003063F1" w:rsidP="003063F1">
      <w:pPr>
        <w:pStyle w:val="ListBullet"/>
      </w:pPr>
      <w:r w:rsidRPr="003063F1">
        <w:t xml:space="preserve">corporate plan and strategic directions of the agency </w:t>
      </w:r>
    </w:p>
    <w:p w:rsidR="00000000" w:rsidRPr="003063F1" w:rsidP="003063F1">
      <w:pPr>
        <w:pStyle w:val="ListBullet"/>
      </w:pPr>
      <w:r w:rsidRPr="003063F1">
        <w:t>agency structure and core business activities</w:t>
      </w:r>
    </w:p>
    <w:p w:rsidR="00000000" w:rsidRPr="003063F1" w:rsidP="003063F1">
      <w:pPr>
        <w:pStyle w:val="ListBullet"/>
      </w:pPr>
      <w:r w:rsidRPr="003063F1">
        <w:t>agency fraud and corruption control policy</w:t>
      </w:r>
    </w:p>
    <w:p w:rsidR="00000000" w:rsidRPr="003063F1" w:rsidP="003063F1">
      <w:pPr>
        <w:pStyle w:val="ListBullet"/>
      </w:pPr>
      <w:r w:rsidRPr="003063F1">
        <w:t>expectations placed on the agency by external stakeholders</w:t>
      </w:r>
    </w:p>
    <w:p w:rsidR="00000000" w:rsidRPr="003063F1" w:rsidP="003063F1">
      <w:pPr>
        <w:pStyle w:val="ListBullet"/>
      </w:pPr>
      <w:r w:rsidRPr="003063F1">
        <w:t xml:space="preserve">constraints imposed by </w:t>
      </w:r>
      <w:r w:rsidRPr="003063F1">
        <w:t>the culture of the organisation and operational factors into fraud and corruption control issues and practices</w:t>
      </w:r>
    </w:p>
    <w:p w:rsidR="00000000" w:rsidRPr="003063F1" w:rsidP="003063F1">
      <w:pPr>
        <w:pStyle w:val="ListBullet"/>
      </w:pPr>
      <w:r w:rsidRPr="003063F1">
        <w:t>organisational change practices</w:t>
      </w:r>
    </w:p>
    <w:p w:rsidR="00000000" w:rsidRPr="003063F1" w:rsidP="003063F1">
      <w:pPr>
        <w:pStyle w:val="ListBullet"/>
      </w:pPr>
      <w:r w:rsidRPr="003063F1">
        <w:t>legislation, policies and procedures relating to fraud and corruption control including:</w:t>
      </w:r>
    </w:p>
    <w:p w:rsidR="00000000" w:rsidRPr="003063F1" w:rsidP="003063F1">
      <w:pPr>
        <w:pStyle w:val="ListBullet2"/>
      </w:pPr>
      <w:r w:rsidRPr="003063F1">
        <w:t>public interest disclos</w:t>
      </w:r>
      <w:r w:rsidRPr="003063F1">
        <w:t xml:space="preserve">ures, </w:t>
      </w:r>
    </w:p>
    <w:p w:rsidR="00000000" w:rsidRPr="003063F1" w:rsidP="003063F1">
      <w:pPr>
        <w:pStyle w:val="ListBullet2"/>
      </w:pPr>
      <w:r w:rsidRPr="003063F1">
        <w:t>protected disclosures or whistleblowing</w:t>
      </w:r>
    </w:p>
    <w:p w:rsidR="00000000" w:rsidRPr="003063F1" w:rsidP="003063F1">
      <w:pPr>
        <w:pStyle w:val="ListBullet2"/>
      </w:pPr>
      <w:r w:rsidRPr="003063F1">
        <w:t xml:space="preserve">fraud and corruption control </w:t>
      </w:r>
    </w:p>
    <w:p w:rsidR="00000000" w:rsidRPr="003063F1" w:rsidP="003063F1">
      <w:pPr>
        <w:pStyle w:val="ListBullet2"/>
      </w:pPr>
      <w:r w:rsidRPr="003063F1">
        <w:t>the workplace</w:t>
      </w:r>
    </w:p>
    <w:p w:rsidR="00000000" w:rsidRPr="003063F1" w:rsidP="003063F1">
      <w:pPr>
        <w:pStyle w:val="ListBullet"/>
      </w:pPr>
      <w:r w:rsidRPr="003063F1">
        <w:t>public sector values codes of conduct, guidelines and standards relating to fraud and corruption control.</w:t>
      </w:r>
    </w:p>
    <w:p w:rsidR="00000000" w:rsidRPr="003063F1" w:rsidP="003063F1">
      <w:pPr>
        <w:pStyle w:val="AllowPageBreak"/>
      </w:pPr>
    </w:p>
    <w:p w:rsidR="00000000" w:rsidRPr="003063F1" w:rsidP="003063F1">
      <w:pPr>
        <w:pStyle w:val="Heading1"/>
      </w:pPr>
      <w:bookmarkStart w:id="12" w:name="O_1214828"/>
      <w:bookmarkEnd w:id="12"/>
      <w:r w:rsidRPr="003063F1">
        <w:t>Assessment Conditions</w:t>
      </w:r>
    </w:p>
    <w:p w:rsidR="00000000" w:rsidRPr="003063F1" w:rsidP="00906243">
      <w:pPr>
        <w:pStyle w:val="BodyText"/>
      </w:pPr>
      <w:r w:rsidRPr="003063F1">
        <w:t xml:space="preserve">Skills must be demonstrated in the workplace or in a simulated environment that reflects workplace conditions. </w:t>
      </w:r>
    </w:p>
    <w:p w:rsidR="00000000" w:rsidRPr="003063F1" w:rsidP="00906243">
      <w:pPr>
        <w:pStyle w:val="BodyText"/>
      </w:pPr>
      <w:r w:rsidRPr="003063F1">
        <w:t>Assessment must ensure access to:</w:t>
      </w:r>
    </w:p>
    <w:p w:rsidR="00000000" w:rsidRPr="003063F1" w:rsidP="003063F1">
      <w:pPr>
        <w:pStyle w:val="ListBullet"/>
      </w:pPr>
      <w:r w:rsidRPr="003063F1">
        <w:t xml:space="preserve">legislation, policies and procedures relating to fraud and corruption control </w:t>
      </w:r>
    </w:p>
    <w:p w:rsidR="00000000" w:rsidRPr="003063F1" w:rsidP="003063F1">
      <w:pPr>
        <w:pStyle w:val="ListBullet"/>
      </w:pPr>
      <w:r w:rsidRPr="003063F1">
        <w:t>public sector values, codes of</w:t>
      </w:r>
      <w:r w:rsidRPr="003063F1">
        <w:t xml:space="preserve"> conduct, guidelines and standards relating to fraud and corruption control</w:t>
      </w:r>
    </w:p>
    <w:p w:rsidR="00000000" w:rsidRPr="003063F1" w:rsidP="003063F1">
      <w:pPr>
        <w:pStyle w:val="ListBullet"/>
      </w:pPr>
      <w:r w:rsidRPr="003063F1">
        <w:t>resources and equipment required of the working environment.</w:t>
      </w:r>
    </w:p>
    <w:p w:rsidR="00000000" w:rsidRPr="003063F1" w:rsidP="00906243">
      <w:pPr>
        <w:pStyle w:val="BodyText"/>
      </w:pPr>
      <w:r w:rsidRPr="003063F1">
        <w:t>Assessors must satisfy the Standards for Registered Training Organisations’ requirements for assessors.</w:t>
      </w:r>
    </w:p>
    <w:p w:rsidR="00000000" w:rsidRPr="003063F1" w:rsidP="003063F1">
      <w:pPr>
        <w:pStyle w:val="Heading1"/>
      </w:pPr>
      <w:bookmarkStart w:id="13" w:name="O_1214831"/>
      <w:bookmarkEnd w:id="13"/>
      <w:r w:rsidRPr="003063F1">
        <w:t>Links</w:t>
      </w:r>
    </w:p>
    <w:p w:rsidR="00000000" w:rsidRPr="003063F1" w:rsidP="00906243">
      <w:pPr>
        <w:pStyle w:val="BodyText"/>
      </w:pPr>
      <w:r w:rsidRPr="00306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28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63F1" w:rsidP="003063F1"/>
    <w:sectPr w:rsidSect="003063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 w:rsidRPr="00906243" w:rsidP="00906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3" w:rsidP="00306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243" w:rsidP="00306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06243" w:rsidP="003063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 w:rsidP="00306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6243">
      <w:t>Approved</w:t>
    </w:r>
    <w:r w:rsidR="009062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62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6243">
      <w:rPr>
        <w:noProof/>
      </w:rPr>
      <w:t>4</w:t>
    </w:r>
    <w:r>
      <w:rPr>
        <w:noProof/>
      </w:rPr>
      <w:fldChar w:fldCharType="end"/>
    </w:r>
  </w:p>
  <w:p w:rsidR="003063F1" w:rsidP="00306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62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6243">
      <w:t>Public Skills Australia</w:t>
    </w:r>
    <w:r w:rsidR="00906243">
      <w:fldChar w:fldCharType="end"/>
    </w:r>
  </w:p>
  <w:p w:rsidR="003063F1" w:rsidP="00306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3F1" w:rsidRPr="00906243" w:rsidP="00906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3" w:rsidRPr="002D2AF8" w:rsidP="00306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PSPFRU016 Manage fraud control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6243" w:rsidP="003063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F1" w:rsidRPr="002D2AF8" w:rsidP="00306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6243">
      <w:t>PSPFRU016 Manage fraud control awareness</w:t>
    </w:r>
    <w:r w:rsidR="009062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6243">
      <w:rPr>
        <w:noProof/>
      </w:rPr>
      <w:t>2 March 2025</w:t>
    </w:r>
    <w:r>
      <w:fldChar w:fldCharType="end"/>
    </w:r>
  </w:p>
  <w:p w:rsidR="003063F1" w:rsidP="00306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69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02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F68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3F1"/>
  </w:style>
  <w:style w:type="character" w:customStyle="1" w:styleId="Heading1Char">
    <w:name w:val="Heading 1 Char"/>
    <w:basedOn w:val="DefaultParagraphFont"/>
    <w:link w:val="Heading1"/>
    <w:rsid w:val="00306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3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63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3F1"/>
    <w:rPr>
      <w:b/>
      <w:spacing w:val="0"/>
    </w:rPr>
  </w:style>
  <w:style w:type="paragraph" w:styleId="ListBullet2">
    <w:name w:val="List Bullet 2"/>
    <w:basedOn w:val="List2"/>
    <w:rsid w:val="003063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63F1"/>
    <w:rPr>
      <w:i/>
    </w:rPr>
  </w:style>
  <w:style w:type="paragraph" w:customStyle="1" w:styleId="SuperHeading">
    <w:name w:val="SuperHeading"/>
    <w:basedOn w:val="Normal"/>
    <w:rsid w:val="00306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3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6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3F1"/>
  </w:style>
  <w:style w:type="paragraph" w:styleId="TableofFigures">
    <w:name w:val="table of figures"/>
    <w:basedOn w:val="Normal"/>
    <w:next w:val="Normal"/>
    <w:semiHidden/>
    <w:rsid w:val="00306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3F1"/>
    <w:rPr>
      <w:rFonts w:ascii="Wingdings" w:hAnsi="Wingdings"/>
    </w:rPr>
  </w:style>
  <w:style w:type="paragraph" w:customStyle="1" w:styleId="TableHeading">
    <w:name w:val="Table Heading"/>
    <w:basedOn w:val="HeadingBase"/>
    <w:rsid w:val="00306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3F1"/>
    <w:rPr>
      <w:color w:val="0033CC"/>
      <w:u w:val="none"/>
    </w:rPr>
  </w:style>
  <w:style w:type="paragraph" w:customStyle="1" w:styleId="BodyTextRight">
    <w:name w:val="Body Text Right"/>
    <w:basedOn w:val="BodyText"/>
    <w:rsid w:val="00306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3F1"/>
    <w:rPr>
      <w:sz w:val="32"/>
    </w:rPr>
  </w:style>
  <w:style w:type="paragraph" w:customStyle="1" w:styleId="HeadingProcedure">
    <w:name w:val="Heading Procedure"/>
    <w:basedOn w:val="HeadingBase"/>
    <w:next w:val="Normal"/>
    <w:rsid w:val="00306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3F1"/>
    <w:pPr>
      <w:spacing w:before="60" w:after="60"/>
    </w:pPr>
  </w:style>
  <w:style w:type="paragraph" w:styleId="ListContinue">
    <w:name w:val="List Continue"/>
    <w:basedOn w:val="List"/>
    <w:rsid w:val="003063F1"/>
    <w:pPr>
      <w:ind w:firstLine="0"/>
    </w:pPr>
  </w:style>
  <w:style w:type="paragraph" w:customStyle="1" w:styleId="ListNote">
    <w:name w:val="List Note"/>
    <w:basedOn w:val="List"/>
    <w:rsid w:val="00306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3F1"/>
    <w:rPr>
      <w:rFonts w:ascii="Courier New" w:hAnsi="Courier New"/>
    </w:rPr>
  </w:style>
  <w:style w:type="paragraph" w:customStyle="1" w:styleId="NoteBullet">
    <w:name w:val="Note Bullet"/>
    <w:basedOn w:val="Note"/>
    <w:rsid w:val="00306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3F1"/>
    <w:rPr>
      <w:b/>
      <w:smallCaps/>
    </w:rPr>
  </w:style>
  <w:style w:type="paragraph" w:customStyle="1" w:styleId="TableListNumber">
    <w:name w:val="Table List Number"/>
    <w:basedOn w:val="ListNumber"/>
    <w:rsid w:val="00306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3F1"/>
    <w:pPr>
      <w:numPr>
        <w:numId w:val="9"/>
      </w:numPr>
    </w:pPr>
  </w:style>
  <w:style w:type="paragraph" w:customStyle="1" w:styleId="ListAlpha2">
    <w:name w:val="List Alpha 2"/>
    <w:basedOn w:val="List2"/>
    <w:rsid w:val="003063F1"/>
    <w:pPr>
      <w:numPr>
        <w:numId w:val="8"/>
      </w:numPr>
    </w:pPr>
  </w:style>
  <w:style w:type="paragraph" w:styleId="List2">
    <w:name w:val="List 2"/>
    <w:basedOn w:val="BodyText"/>
    <w:rsid w:val="00306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3F1"/>
    <w:pPr>
      <w:numPr>
        <w:numId w:val="4"/>
      </w:numPr>
    </w:pPr>
  </w:style>
  <w:style w:type="paragraph" w:styleId="ListContinue2">
    <w:name w:val="List Continue 2"/>
    <w:basedOn w:val="List2"/>
    <w:rsid w:val="003063F1"/>
    <w:pPr>
      <w:ind w:firstLine="0"/>
    </w:pPr>
  </w:style>
  <w:style w:type="paragraph" w:styleId="ListContinue3">
    <w:name w:val="List Continue 3"/>
    <w:basedOn w:val="List3"/>
    <w:rsid w:val="003063F1"/>
    <w:pPr>
      <w:ind w:left="1021" w:firstLine="0"/>
    </w:pPr>
  </w:style>
  <w:style w:type="paragraph" w:styleId="ListContinue4">
    <w:name w:val="List Continue 4"/>
    <w:basedOn w:val="List4"/>
    <w:rsid w:val="003063F1"/>
    <w:pPr>
      <w:ind w:firstLine="0"/>
    </w:pPr>
  </w:style>
  <w:style w:type="paragraph" w:styleId="ListContinue5">
    <w:name w:val="List Continue 5"/>
    <w:basedOn w:val="List5"/>
    <w:rsid w:val="003063F1"/>
    <w:pPr>
      <w:ind w:firstLine="0"/>
    </w:pPr>
  </w:style>
  <w:style w:type="paragraph" w:styleId="ListNumber3">
    <w:name w:val="List Number 3"/>
    <w:basedOn w:val="List3"/>
    <w:rsid w:val="003063F1"/>
    <w:pPr>
      <w:numPr>
        <w:numId w:val="5"/>
      </w:numPr>
    </w:pPr>
  </w:style>
  <w:style w:type="paragraph" w:styleId="ListNumber4">
    <w:name w:val="List Number 4"/>
    <w:basedOn w:val="List4"/>
    <w:rsid w:val="003063F1"/>
    <w:pPr>
      <w:numPr>
        <w:numId w:val="6"/>
      </w:numPr>
    </w:pPr>
  </w:style>
  <w:style w:type="paragraph" w:styleId="ListNumber5">
    <w:name w:val="List Number 5"/>
    <w:basedOn w:val="List5"/>
    <w:rsid w:val="003063F1"/>
    <w:pPr>
      <w:numPr>
        <w:numId w:val="7"/>
      </w:numPr>
    </w:pPr>
  </w:style>
  <w:style w:type="paragraph" w:styleId="BlockText">
    <w:name w:val="Block Text"/>
    <w:basedOn w:val="Normal"/>
    <w:rsid w:val="00306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3F1"/>
    <w:rPr>
      <w:sz w:val="16"/>
      <w:vertAlign w:val="superscript"/>
    </w:rPr>
  </w:style>
  <w:style w:type="character" w:customStyle="1" w:styleId="Symbols">
    <w:name w:val="Symbols"/>
    <w:basedOn w:val="DefaultParagraphFont"/>
    <w:rsid w:val="003063F1"/>
    <w:rPr>
      <w:rFonts w:ascii="Symbol" w:hAnsi="Symbol"/>
    </w:rPr>
  </w:style>
  <w:style w:type="character" w:customStyle="1" w:styleId="MenuOptions">
    <w:name w:val="Menu Options"/>
    <w:basedOn w:val="DefaultParagraphFont"/>
    <w:rsid w:val="00306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3F1"/>
    <w:rPr>
      <w:b/>
    </w:rPr>
  </w:style>
  <w:style w:type="character" w:customStyle="1" w:styleId="Underlined">
    <w:name w:val="Underlined"/>
    <w:basedOn w:val="DefaultParagraphFont"/>
    <w:rsid w:val="003063F1"/>
    <w:rPr>
      <w:u w:val="single"/>
    </w:rPr>
  </w:style>
  <w:style w:type="paragraph" w:customStyle="1" w:styleId="TableBodyTextRight">
    <w:name w:val="Table Body Text Right"/>
    <w:basedOn w:val="TableBodyText"/>
    <w:rsid w:val="00306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3F1"/>
    <w:rPr>
      <w:sz w:val="18"/>
    </w:rPr>
  </w:style>
  <w:style w:type="paragraph" w:customStyle="1" w:styleId="BodySmallRight">
    <w:name w:val="Body Small Right"/>
    <w:basedOn w:val="BodyTextRight"/>
    <w:rsid w:val="003063F1"/>
    <w:rPr>
      <w:sz w:val="18"/>
      <w:szCs w:val="18"/>
    </w:rPr>
  </w:style>
  <w:style w:type="paragraph" w:customStyle="1" w:styleId="MarginEdition">
    <w:name w:val="Margin Edition"/>
    <w:basedOn w:val="MarginNote"/>
    <w:rsid w:val="00306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3F1"/>
    <w:rPr>
      <w:sz w:val="2"/>
      <w:szCs w:val="2"/>
    </w:rPr>
  </w:style>
  <w:style w:type="character" w:customStyle="1" w:styleId="Small">
    <w:name w:val="Small"/>
    <w:basedOn w:val="DefaultParagraphFont"/>
    <w:rsid w:val="003063F1"/>
    <w:rPr>
      <w:sz w:val="16"/>
    </w:rPr>
  </w:style>
  <w:style w:type="paragraph" w:customStyle="1" w:styleId="WideTable">
    <w:name w:val="Wide Table"/>
    <w:basedOn w:val="Normal"/>
    <w:rsid w:val="00306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3F1"/>
  </w:style>
  <w:style w:type="paragraph" w:styleId="Quote">
    <w:name w:val="Quote"/>
    <w:basedOn w:val="Heading1"/>
    <w:link w:val="QuoteChar"/>
    <w:qFormat/>
    <w:rsid w:val="00306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3F1"/>
    <w:pPr>
      <w:pageBreakBefore/>
    </w:pPr>
  </w:style>
  <w:style w:type="paragraph" w:customStyle="1" w:styleId="Border">
    <w:name w:val="Border"/>
    <w:basedOn w:val="Normal"/>
    <w:qFormat/>
    <w:rsid w:val="00306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3F1"/>
    <w:rPr>
      <w:u w:val="single"/>
    </w:rPr>
  </w:style>
  <w:style w:type="character" w:customStyle="1" w:styleId="BoldandItalics">
    <w:name w:val="Bold and Italics"/>
    <w:qFormat/>
    <w:rsid w:val="003063F1"/>
    <w:rPr>
      <w:b/>
      <w:i/>
      <w:u w:val="none"/>
    </w:rPr>
  </w:style>
  <w:style w:type="paragraph" w:styleId="BalloonText">
    <w:name w:val="Balloon Text"/>
    <w:basedOn w:val="Normal"/>
    <w:link w:val="BalloonTextChar"/>
    <w:rsid w:val="00306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3F1"/>
    <w:pPr>
      <w:spacing w:before="0" w:after="0"/>
    </w:pPr>
  </w:style>
  <w:style w:type="paragraph" w:customStyle="1" w:styleId="BodyTextBold">
    <w:name w:val="Body Text Bold"/>
    <w:basedOn w:val="BodyText"/>
    <w:qFormat/>
    <w:rsid w:val="003063F1"/>
    <w:rPr>
      <w:b/>
    </w:rPr>
  </w:style>
  <w:style w:type="character" w:styleId="Hyperlink">
    <w:name w:val="Hyperlink"/>
    <w:basedOn w:val="DefaultParagraphFont"/>
    <w:uiPriority w:val="99"/>
    <w:unhideWhenUsed/>
    <w:rsid w:val="00906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5351</Characters>
  <Application>Microsoft Office Word</Application>
  <DocSecurity>0</DocSecurity>
  <Lines>157</Lines>
  <Paragraphs>96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PSPFRU016 Manage fraud control awareness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