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901C0" w:rsidP="006901C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PSPFRU015 Manage fraud risk assessment and action plan</w:t>
      </w:r>
      <w:r>
        <w:fldChar w:fldCharType="end"/>
      </w:r>
    </w:p>
    <w:p w:rsidR="006901C0" w:rsidP="006901C0">
      <w:pPr>
        <w:pStyle w:val="Version"/>
        <w:sectPr w:rsidSect="00AD025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D025B" w:rsidP="00AD025B">
      <w:pPr>
        <w:pStyle w:val="SuperHeading"/>
      </w:pPr>
      <w:r w:rsidRPr="00AD025B">
        <w:t>PSPFRU015 Manage fraud risk assessment and action plan</w:t>
      </w:r>
    </w:p>
    <w:p w:rsidR="00000000" w:rsidRPr="00AD025B" w:rsidP="00AD025B">
      <w:pPr>
        <w:pStyle w:val="Heading1"/>
      </w:pPr>
      <w:bookmarkStart w:id="1" w:name="O_1214796"/>
      <w:bookmarkEnd w:id="1"/>
      <w:r w:rsidRPr="00AD025B">
        <w:t>Modification History</w:t>
      </w:r>
    </w:p>
    <w:p w:rsidR="00000000" w:rsidRPr="00AD025B" w:rsidP="006901C0">
      <w:pPr>
        <w:pStyle w:val="BodyText"/>
      </w:pPr>
      <w:r w:rsidRPr="00AD025B">
        <w:t>Supersedes and is equivalent to PSPFRU010 Manage fraud risk assessment and action plan.</w:t>
      </w:r>
    </w:p>
    <w:p w:rsidR="00000000" w:rsidRPr="00AD025B" w:rsidP="00AD025B">
      <w:pPr>
        <w:pStyle w:val="Heading1"/>
      </w:pPr>
      <w:bookmarkStart w:id="2" w:name="O_1214797"/>
      <w:bookmarkEnd w:id="2"/>
      <w:r w:rsidRPr="00AD025B">
        <w:t>Application</w:t>
      </w:r>
    </w:p>
    <w:p w:rsidR="00000000" w:rsidRPr="00AD025B" w:rsidP="006901C0">
      <w:pPr>
        <w:pStyle w:val="BodyText"/>
      </w:pPr>
      <w:r w:rsidRPr="00AD025B">
        <w:t>This unit describes the performance outcomes, skills and knowledge required to manage fraud and co</w:t>
      </w:r>
      <w:r w:rsidRPr="00AD025B">
        <w:t xml:space="preserve">rruption risk assessment, where personnel conducting the risk assessment may be internal staff or consultants. </w:t>
      </w:r>
    </w:p>
    <w:p w:rsidR="00000000" w:rsidRPr="00AD025B" w:rsidP="006901C0">
      <w:pPr>
        <w:pStyle w:val="BodyText"/>
      </w:pPr>
      <w:r w:rsidRPr="00AD025B">
        <w:t>This unit applies to those working autonomously in management roles overseeing the fraud risk assessment and action plan, performing complex tas</w:t>
      </w:r>
      <w:r w:rsidRPr="00AD025B">
        <w:t>ks in a range of familiar contexts.</w:t>
      </w:r>
    </w:p>
    <w:p w:rsidR="00000000" w:rsidRPr="00AD025B" w:rsidP="006901C0">
      <w:pPr>
        <w:pStyle w:val="BodyText"/>
      </w:pPr>
      <w:r w:rsidRPr="00AD025B">
        <w:t>The skills in this unit must be applied in accordance with Commonwealth and State or Territory legislation, Australian standards and industry codes of practice.</w:t>
      </w:r>
    </w:p>
    <w:p w:rsidR="00000000" w:rsidRPr="00AD025B" w:rsidP="006901C0">
      <w:pPr>
        <w:pStyle w:val="BodyText"/>
      </w:pPr>
      <w:r w:rsidRPr="00AD025B">
        <w:t>No occupational licensing, certification or specific legisl</w:t>
      </w:r>
      <w:r w:rsidRPr="00AD025B">
        <w:t>ative requirements apply to this unit at the time of publication.</w:t>
      </w:r>
    </w:p>
    <w:p w:rsidR="00000000" w:rsidRPr="00AD025B" w:rsidP="00AD025B">
      <w:pPr>
        <w:pStyle w:val="Heading1"/>
      </w:pPr>
      <w:bookmarkStart w:id="3" w:name="O_1214798"/>
      <w:bookmarkEnd w:id="3"/>
      <w:r w:rsidRPr="00AD025B">
        <w:t>Pre-requisite Unit</w:t>
      </w:r>
    </w:p>
    <w:p w:rsidR="00000000" w:rsidRPr="00AD025B" w:rsidP="006901C0">
      <w:pPr>
        <w:pStyle w:val="BodyText"/>
      </w:pPr>
      <w:r w:rsidRPr="00AD025B">
        <w:t xml:space="preserve">Nil </w:t>
      </w:r>
    </w:p>
    <w:p w:rsidR="00000000" w:rsidRPr="00AD025B" w:rsidP="00AD025B">
      <w:pPr>
        <w:pStyle w:val="Heading1"/>
      </w:pPr>
      <w:bookmarkStart w:id="4" w:name="O_1214799"/>
      <w:bookmarkEnd w:id="4"/>
      <w:r w:rsidRPr="00AD025B">
        <w:t>Competency Field</w:t>
      </w:r>
    </w:p>
    <w:p w:rsidR="00000000" w:rsidRPr="00AD025B" w:rsidP="006901C0">
      <w:pPr>
        <w:pStyle w:val="BodyText"/>
      </w:pPr>
      <w:r w:rsidRPr="00AD025B">
        <w:t>Fraud control</w:t>
      </w:r>
    </w:p>
    <w:p w:rsidR="00000000" w:rsidRPr="00AD025B" w:rsidP="00AD025B">
      <w:pPr>
        <w:pStyle w:val="Heading1"/>
      </w:pPr>
      <w:bookmarkStart w:id="5" w:name="O_1214801"/>
      <w:bookmarkEnd w:id="5"/>
      <w:r w:rsidRPr="00AD025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AD02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25B" w:rsidP="00AD025B">
            <w:pPr>
              <w:pStyle w:val="BodyText"/>
            </w:pPr>
            <w:r w:rsidRPr="00AD025B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25B">
            <w:pPr>
              <w:pStyle w:val="BodyText"/>
              <w:rPr>
                <w:lang w:val="en-NZ"/>
              </w:rPr>
            </w:pPr>
            <w:r w:rsidRPr="00AD025B">
              <w:rPr>
                <w:rStyle w:val="SpecialBold"/>
              </w:rPr>
              <w:t>PERFORMANCE</w:t>
            </w:r>
            <w:r w:rsidRPr="00AD025B">
              <w:t xml:space="preserve"> </w:t>
            </w:r>
            <w:r w:rsidRPr="00AD025B">
              <w:rPr>
                <w:rStyle w:val="SpecialBold"/>
              </w:rPr>
              <w:t>CRITERIA</w:t>
            </w:r>
          </w:p>
        </w:tc>
      </w:tr>
      <w:tr w:rsidTr="00AD02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25B" w:rsidP="00AD025B">
            <w:pPr>
              <w:pStyle w:val="BodyText"/>
            </w:pPr>
            <w:r w:rsidRPr="00AD025B">
              <w:rPr>
                <w:rStyle w:val="Emphasis"/>
              </w:rPr>
              <w:t>Elements desc</w:t>
            </w:r>
            <w:r w:rsidRPr="00AD025B">
              <w:rPr>
                <w:rStyle w:val="Emphasis"/>
              </w:rPr>
              <w:t>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25B">
            <w:pPr>
              <w:pStyle w:val="BodyText"/>
              <w:rPr>
                <w:lang w:val="en-NZ"/>
              </w:rPr>
            </w:pPr>
            <w:r w:rsidRPr="00AD025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D02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39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25B">
            <w:pPr>
              <w:pStyle w:val="List"/>
              <w:rPr>
                <w:lang w:val="en-NZ"/>
              </w:rPr>
            </w:pPr>
            <w:r w:rsidRPr="00AD025B">
              <w:t>1.  Apply organisational philosophy.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25B" w:rsidP="00AD025B">
            <w:pPr>
              <w:pStyle w:val="List"/>
            </w:pPr>
            <w:r w:rsidRPr="00AD025B">
              <w:t>1.1. Consult stakeholders in the management of the fraud and corruption risk assessment process.</w:t>
            </w:r>
          </w:p>
          <w:p w:rsidR="00000000" w:rsidP="00AD025B">
            <w:pPr>
              <w:pStyle w:val="List"/>
              <w:rPr>
                <w:lang w:val="en-NZ"/>
              </w:rPr>
            </w:pPr>
            <w:r w:rsidRPr="00AD025B">
              <w:t>1.2. Identify and apply organisational philosophy when making decisions regarding development and implementation of the risk assessment process in the organisa</w:t>
            </w:r>
            <w:r w:rsidRPr="00AD025B">
              <w:t>tion.</w:t>
            </w:r>
          </w:p>
        </w:tc>
      </w:tr>
      <w:tr w:rsidTr="00AD02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7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25B">
            <w:pPr>
              <w:pStyle w:val="List"/>
              <w:rPr>
                <w:lang w:val="en-NZ"/>
              </w:rPr>
            </w:pPr>
            <w:r w:rsidRPr="00AD025B">
              <w:t>2.  Select risk assessment methodology.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25B" w:rsidP="00AD025B">
            <w:pPr>
              <w:pStyle w:val="List"/>
            </w:pPr>
            <w:r w:rsidRPr="00AD025B">
              <w:t>2.1 Select risk assessment methodology based on an evaluation of a range of fraud and corruption risk management techniques, and factors, including the environment, culture and functions of the organisation.</w:t>
            </w:r>
          </w:p>
          <w:p w:rsidR="00000000" w:rsidRPr="00AD025B" w:rsidP="00AD025B">
            <w:pPr>
              <w:pStyle w:val="List"/>
            </w:pPr>
            <w:r w:rsidRPr="00AD025B">
              <w:t>2</w:t>
            </w:r>
            <w:r w:rsidRPr="00AD025B">
              <w:t>.2 Select methodology to meet the Australian standard for risk management according to organisational policies and procedures.</w:t>
            </w:r>
          </w:p>
          <w:p w:rsidR="00000000" w:rsidP="00AD025B">
            <w:pPr>
              <w:pStyle w:val="List"/>
              <w:rPr>
                <w:lang w:val="en-NZ"/>
              </w:rPr>
            </w:pPr>
            <w:r w:rsidRPr="00AD025B">
              <w:t>2.3 Monitor activities of personnel implementing the fraud and corruption risk assessment methodology.</w:t>
            </w:r>
          </w:p>
        </w:tc>
      </w:tr>
      <w:tr w:rsidTr="00AD02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25B">
            <w:pPr>
              <w:pStyle w:val="List"/>
              <w:rPr>
                <w:lang w:val="en-NZ"/>
              </w:rPr>
            </w:pPr>
            <w:r w:rsidRPr="00AD025B">
              <w:t>3.  Establish reporting and review mechanisms.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25B" w:rsidP="00AD025B">
            <w:pPr>
              <w:pStyle w:val="List"/>
            </w:pPr>
            <w:r w:rsidRPr="00AD025B">
              <w:t>3.1 Identify appropriate actions to be implemented in reporting mechanisms.</w:t>
            </w:r>
          </w:p>
          <w:p w:rsidR="00000000" w:rsidRPr="00AD025B" w:rsidP="00AD025B">
            <w:pPr>
              <w:pStyle w:val="List"/>
            </w:pPr>
            <w:r w:rsidRPr="00AD025B">
              <w:t>3.2. Design review mechanisms for the fraud and corruption risk assessment process.</w:t>
            </w:r>
          </w:p>
          <w:p w:rsidR="00000000" w:rsidRPr="00AD025B" w:rsidP="00AD025B">
            <w:pPr>
              <w:pStyle w:val="List"/>
            </w:pPr>
            <w:r w:rsidRPr="00AD025B">
              <w:t xml:space="preserve">3.3 Establish reporting mechanisms to facilitate </w:t>
            </w:r>
            <w:r w:rsidRPr="00AD025B">
              <w:t>a flexible response to deficiencies identified.</w:t>
            </w:r>
          </w:p>
          <w:p w:rsidR="00000000" w:rsidRPr="00AD025B" w:rsidP="00AD025B">
            <w:pPr>
              <w:pStyle w:val="List"/>
            </w:pPr>
            <w:r w:rsidRPr="00AD025B">
              <w:t>3.4. Establish reporting mechanisms to meet the requirements of standards setting organisations.</w:t>
            </w:r>
          </w:p>
        </w:tc>
      </w:tr>
    </w:tbl>
    <w:p w:rsidR="00000000" w:rsidRPr="00AD025B" w:rsidP="00AD025B">
      <w:pPr>
        <w:pStyle w:val="BodyText"/>
      </w:pPr>
    </w:p>
    <w:p w:rsidR="00000000" w:rsidRPr="00AD025B" w:rsidP="00AD025B">
      <w:pPr>
        <w:pStyle w:val="AllowPageBreak"/>
      </w:pPr>
    </w:p>
    <w:p w:rsidR="00000000" w:rsidRPr="00AD025B" w:rsidP="00AD025B">
      <w:pPr>
        <w:pStyle w:val="Heading1"/>
      </w:pPr>
      <w:bookmarkStart w:id="6" w:name="O_1214802"/>
      <w:bookmarkEnd w:id="6"/>
      <w:r w:rsidRPr="00AD025B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AD02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25B">
            <w:pPr>
              <w:pStyle w:val="BodyText"/>
              <w:rPr>
                <w:lang w:val="en-NZ"/>
              </w:rPr>
            </w:pPr>
            <w:r w:rsidRPr="00AD025B">
              <w:t>Foundation skills essential to performance in this unit, but not explici</w:t>
            </w:r>
            <w:r w:rsidRPr="00AD025B">
              <w:t>t in the performance criteria are listed here, along with a brief context statement.</w:t>
            </w:r>
          </w:p>
        </w:tc>
      </w:tr>
      <w:tr w:rsidTr="00AD02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25B" w:rsidP="00AD025B">
            <w:pPr>
              <w:pStyle w:val="BodyText"/>
            </w:pPr>
            <w:r w:rsidRPr="00AD025B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25B">
            <w:pPr>
              <w:pStyle w:val="BodyText"/>
              <w:rPr>
                <w:lang w:val="en-NZ"/>
              </w:rPr>
            </w:pPr>
            <w:r w:rsidRPr="00AD025B">
              <w:rPr>
                <w:rStyle w:val="SpecialBold"/>
              </w:rPr>
              <w:t>DESCRIPTION</w:t>
            </w:r>
          </w:p>
        </w:tc>
      </w:tr>
      <w:tr w:rsidTr="00AD02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1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25B">
            <w:pPr>
              <w:pStyle w:val="BodyText"/>
              <w:rPr>
                <w:lang w:val="en-NZ"/>
              </w:rPr>
            </w:pPr>
            <w:r w:rsidRPr="00AD025B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25B">
            <w:pPr>
              <w:pStyle w:val="ListBullet"/>
              <w:rPr>
                <w:lang w:val="en-NZ"/>
              </w:rPr>
            </w:pPr>
            <w:r w:rsidRPr="00AD025B">
              <w:t xml:space="preserve">interpret risk management standards and related information the fraud and corruption risk assessment and action plan. </w:t>
            </w:r>
          </w:p>
        </w:tc>
      </w:tr>
      <w:tr w:rsidTr="00AD02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6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25B">
            <w:pPr>
              <w:pStyle w:val="BodyText"/>
              <w:rPr>
                <w:lang w:val="en-NZ"/>
              </w:rPr>
            </w:pPr>
            <w:r w:rsidRPr="00AD025B">
              <w:t>Oral communication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25B">
            <w:pPr>
              <w:pStyle w:val="ListBullet"/>
              <w:rPr>
                <w:lang w:val="en-NZ"/>
              </w:rPr>
            </w:pPr>
            <w:r w:rsidRPr="00AD025B">
              <w:t>use communication, consultation and negotiation styles to suit different audiences and purposes.</w:t>
            </w:r>
          </w:p>
        </w:tc>
      </w:tr>
      <w:tr w:rsidTr="00AD02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25B">
            <w:pPr>
              <w:pStyle w:val="BodyText"/>
              <w:rPr>
                <w:lang w:val="en-NZ"/>
              </w:rPr>
            </w:pPr>
            <w:r w:rsidRPr="00AD025B">
              <w:t>Problem 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25B" w:rsidP="00AD025B">
            <w:pPr>
              <w:pStyle w:val="ListBullet"/>
            </w:pPr>
            <w:r w:rsidRPr="00AD025B">
              <w:t>design and implement processes that address the organisational context and the requirements of fraud and c</w:t>
            </w:r>
            <w:r w:rsidRPr="00AD025B">
              <w:t>orruption risk management standards and methodology.</w:t>
            </w:r>
          </w:p>
        </w:tc>
      </w:tr>
    </w:tbl>
    <w:p w:rsidR="00000000" w:rsidRPr="00AD025B" w:rsidP="00AD025B">
      <w:pPr>
        <w:pStyle w:val="BodyText"/>
      </w:pPr>
    </w:p>
    <w:p w:rsidR="00000000" w:rsidRPr="00AD025B" w:rsidP="00AD025B">
      <w:pPr>
        <w:pStyle w:val="AllowPageBreak"/>
      </w:pPr>
    </w:p>
    <w:p w:rsidR="00000000" w:rsidRPr="00AD025B" w:rsidP="00AD025B">
      <w:pPr>
        <w:pStyle w:val="Heading1"/>
      </w:pPr>
      <w:bookmarkStart w:id="7" w:name="O_1214804"/>
      <w:bookmarkEnd w:id="7"/>
      <w:r w:rsidRPr="00AD025B">
        <w:t>Unit Mapping Information</w:t>
      </w:r>
    </w:p>
    <w:p w:rsidR="00000000" w:rsidRPr="00AD025B" w:rsidP="006901C0">
      <w:pPr>
        <w:pStyle w:val="BodyText"/>
      </w:pPr>
      <w:r w:rsidRPr="00AD025B">
        <w:t>Supersedes and is equivalent to PSPFRU010 Manage fraud risk assessment and action plan.</w:t>
      </w:r>
    </w:p>
    <w:p w:rsidR="00000000" w:rsidRPr="00AD025B" w:rsidP="00AD025B">
      <w:pPr>
        <w:pStyle w:val="Heading1"/>
      </w:pPr>
      <w:bookmarkStart w:id="8" w:name="O_1214811"/>
      <w:bookmarkEnd w:id="8"/>
      <w:r w:rsidRPr="00AD025B">
        <w:t>Links</w:t>
      </w:r>
    </w:p>
    <w:p w:rsidR="00000000" w:rsidRPr="00AD025B" w:rsidP="006901C0">
      <w:pPr>
        <w:pStyle w:val="BodyText"/>
      </w:pPr>
      <w:r w:rsidRPr="00AD025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715853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AD025B" w:rsidP="00AD025B"/>
    <w:sectPr w:rsidSect="00AD025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025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025B" w:rsidRPr="006901C0" w:rsidP="006901C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025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1C0" w:rsidP="00AD025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901C0" w:rsidP="00AD025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901C0" w:rsidP="00AD025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025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1C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D025B" w:rsidRPr="006901C0" w:rsidP="006901C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025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1C0" w:rsidRPr="002D2AF8" w:rsidP="00AD025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PSPFRU015 Manage fraud risk assessment and action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6901C0" w:rsidP="00AD025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0CEBE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B66F1D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025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D025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D025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D025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D025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D025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D025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D025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D025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D025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D025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D025B"/>
  </w:style>
  <w:style w:type="character" w:customStyle="1" w:styleId="Heading1Char">
    <w:name w:val="Heading 1 Char"/>
    <w:basedOn w:val="DefaultParagraphFont"/>
    <w:link w:val="Heading1"/>
    <w:rsid w:val="00AD025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D025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D025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D025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D025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D025B"/>
    <w:rPr>
      <w:b/>
      <w:spacing w:val="0"/>
    </w:rPr>
  </w:style>
  <w:style w:type="character" w:styleId="Emphasis">
    <w:name w:val="Emphasis"/>
    <w:basedOn w:val="DefaultParagraphFont"/>
    <w:qFormat/>
    <w:rsid w:val="00AD025B"/>
    <w:rPr>
      <w:i/>
    </w:rPr>
  </w:style>
  <w:style w:type="paragraph" w:customStyle="1" w:styleId="SuperHeading">
    <w:name w:val="SuperHeading"/>
    <w:basedOn w:val="Normal"/>
    <w:rsid w:val="00AD025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D025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D025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D025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D025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D02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D02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D02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D02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D025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D025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D025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D025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D025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D025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D025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D025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D025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D025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D025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D025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D025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D025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D025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D025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D025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D025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D025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D025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D025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D025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D025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D025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D025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D025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D025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D025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D025B"/>
  </w:style>
  <w:style w:type="paragraph" w:styleId="TableofFigures">
    <w:name w:val="table of figures"/>
    <w:basedOn w:val="Normal"/>
    <w:next w:val="Normal"/>
    <w:semiHidden/>
    <w:rsid w:val="00AD025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D025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D025B"/>
    <w:rPr>
      <w:rFonts w:ascii="Wingdings" w:hAnsi="Wingdings"/>
    </w:rPr>
  </w:style>
  <w:style w:type="paragraph" w:customStyle="1" w:styleId="TableHeading">
    <w:name w:val="Table Heading"/>
    <w:basedOn w:val="HeadingBase"/>
    <w:rsid w:val="00AD025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D025B"/>
    <w:rPr>
      <w:color w:val="0033CC"/>
      <w:u w:val="none"/>
    </w:rPr>
  </w:style>
  <w:style w:type="paragraph" w:customStyle="1" w:styleId="BodyTextRight">
    <w:name w:val="Body Text Right"/>
    <w:basedOn w:val="BodyText"/>
    <w:rsid w:val="00AD025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D025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D025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D025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D025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D025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D025B"/>
    <w:rPr>
      <w:sz w:val="32"/>
    </w:rPr>
  </w:style>
  <w:style w:type="paragraph" w:customStyle="1" w:styleId="HeadingProcedure">
    <w:name w:val="Heading Procedure"/>
    <w:basedOn w:val="HeadingBase"/>
    <w:next w:val="Normal"/>
    <w:rsid w:val="00AD025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D025B"/>
    <w:pPr>
      <w:spacing w:before="60" w:after="60"/>
    </w:pPr>
  </w:style>
  <w:style w:type="paragraph" w:styleId="ListContinue">
    <w:name w:val="List Continue"/>
    <w:basedOn w:val="List"/>
    <w:rsid w:val="00AD025B"/>
    <w:pPr>
      <w:ind w:firstLine="0"/>
    </w:pPr>
  </w:style>
  <w:style w:type="paragraph" w:customStyle="1" w:styleId="ListNote">
    <w:name w:val="List Note"/>
    <w:basedOn w:val="List"/>
    <w:rsid w:val="00AD025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D025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D025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D025B"/>
    <w:rPr>
      <w:rFonts w:ascii="Courier New" w:hAnsi="Courier New"/>
    </w:rPr>
  </w:style>
  <w:style w:type="paragraph" w:customStyle="1" w:styleId="NoteBullet">
    <w:name w:val="Note Bullet"/>
    <w:basedOn w:val="Note"/>
    <w:rsid w:val="00AD025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D025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D025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D025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D025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D025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D025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D025B"/>
    <w:rPr>
      <w:b/>
      <w:smallCaps/>
    </w:rPr>
  </w:style>
  <w:style w:type="paragraph" w:customStyle="1" w:styleId="TableListNumber">
    <w:name w:val="Table List Number"/>
    <w:basedOn w:val="ListNumber"/>
    <w:rsid w:val="00AD025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D025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D025B"/>
    <w:pPr>
      <w:numPr>
        <w:numId w:val="8"/>
      </w:numPr>
    </w:pPr>
  </w:style>
  <w:style w:type="paragraph" w:customStyle="1" w:styleId="ListAlpha2">
    <w:name w:val="List Alpha 2"/>
    <w:basedOn w:val="List2"/>
    <w:rsid w:val="00AD025B"/>
    <w:pPr>
      <w:numPr>
        <w:numId w:val="7"/>
      </w:numPr>
    </w:pPr>
  </w:style>
  <w:style w:type="paragraph" w:styleId="List2">
    <w:name w:val="List 2"/>
    <w:basedOn w:val="BodyText"/>
    <w:rsid w:val="00AD025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D025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D025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D025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D025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D025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D025B"/>
    <w:pPr>
      <w:numPr>
        <w:numId w:val="3"/>
      </w:numPr>
    </w:pPr>
  </w:style>
  <w:style w:type="paragraph" w:styleId="ListContinue2">
    <w:name w:val="List Continue 2"/>
    <w:basedOn w:val="List2"/>
    <w:rsid w:val="00AD025B"/>
    <w:pPr>
      <w:ind w:firstLine="0"/>
    </w:pPr>
  </w:style>
  <w:style w:type="paragraph" w:styleId="ListContinue3">
    <w:name w:val="List Continue 3"/>
    <w:basedOn w:val="List3"/>
    <w:rsid w:val="00AD025B"/>
    <w:pPr>
      <w:ind w:left="1021" w:firstLine="0"/>
    </w:pPr>
  </w:style>
  <w:style w:type="paragraph" w:styleId="ListContinue4">
    <w:name w:val="List Continue 4"/>
    <w:basedOn w:val="List4"/>
    <w:rsid w:val="00AD025B"/>
    <w:pPr>
      <w:ind w:firstLine="0"/>
    </w:pPr>
  </w:style>
  <w:style w:type="paragraph" w:styleId="ListContinue5">
    <w:name w:val="List Continue 5"/>
    <w:basedOn w:val="List5"/>
    <w:rsid w:val="00AD025B"/>
    <w:pPr>
      <w:ind w:firstLine="0"/>
    </w:pPr>
  </w:style>
  <w:style w:type="paragraph" w:styleId="ListNumber3">
    <w:name w:val="List Number 3"/>
    <w:basedOn w:val="List3"/>
    <w:rsid w:val="00AD025B"/>
    <w:pPr>
      <w:numPr>
        <w:numId w:val="4"/>
      </w:numPr>
    </w:pPr>
  </w:style>
  <w:style w:type="paragraph" w:styleId="ListNumber4">
    <w:name w:val="List Number 4"/>
    <w:basedOn w:val="List4"/>
    <w:rsid w:val="00AD025B"/>
    <w:pPr>
      <w:numPr>
        <w:numId w:val="5"/>
      </w:numPr>
    </w:pPr>
  </w:style>
  <w:style w:type="paragraph" w:styleId="ListNumber5">
    <w:name w:val="List Number 5"/>
    <w:basedOn w:val="List5"/>
    <w:rsid w:val="00AD025B"/>
    <w:pPr>
      <w:numPr>
        <w:numId w:val="6"/>
      </w:numPr>
    </w:pPr>
  </w:style>
  <w:style w:type="paragraph" w:styleId="BlockText">
    <w:name w:val="Block Text"/>
    <w:basedOn w:val="Normal"/>
    <w:rsid w:val="00AD025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D025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D025B"/>
    <w:rPr>
      <w:sz w:val="16"/>
      <w:vertAlign w:val="superscript"/>
    </w:rPr>
  </w:style>
  <w:style w:type="character" w:customStyle="1" w:styleId="Symbols">
    <w:name w:val="Symbols"/>
    <w:basedOn w:val="DefaultParagraphFont"/>
    <w:rsid w:val="00AD025B"/>
    <w:rPr>
      <w:rFonts w:ascii="Symbol" w:hAnsi="Symbol"/>
    </w:rPr>
  </w:style>
  <w:style w:type="character" w:customStyle="1" w:styleId="MenuOptions">
    <w:name w:val="Menu Options"/>
    <w:basedOn w:val="DefaultParagraphFont"/>
    <w:rsid w:val="00AD025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D025B"/>
    <w:rPr>
      <w:b/>
    </w:rPr>
  </w:style>
  <w:style w:type="character" w:customStyle="1" w:styleId="Underlined">
    <w:name w:val="Underlined"/>
    <w:basedOn w:val="DefaultParagraphFont"/>
    <w:rsid w:val="00AD025B"/>
    <w:rPr>
      <w:u w:val="single"/>
    </w:rPr>
  </w:style>
  <w:style w:type="paragraph" w:customStyle="1" w:styleId="TableBodyTextRight">
    <w:name w:val="Table Body Text Right"/>
    <w:basedOn w:val="TableBodyText"/>
    <w:rsid w:val="00AD025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D025B"/>
    <w:rPr>
      <w:sz w:val="18"/>
    </w:rPr>
  </w:style>
  <w:style w:type="paragraph" w:customStyle="1" w:styleId="BodySmallRight">
    <w:name w:val="Body Small Right"/>
    <w:basedOn w:val="BodyTextRight"/>
    <w:rsid w:val="00AD025B"/>
    <w:rPr>
      <w:sz w:val="18"/>
      <w:szCs w:val="18"/>
    </w:rPr>
  </w:style>
  <w:style w:type="paragraph" w:customStyle="1" w:styleId="MarginEdition">
    <w:name w:val="Margin Edition"/>
    <w:basedOn w:val="MarginNote"/>
    <w:rsid w:val="00AD025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D025B"/>
    <w:rPr>
      <w:sz w:val="2"/>
      <w:szCs w:val="2"/>
    </w:rPr>
  </w:style>
  <w:style w:type="character" w:customStyle="1" w:styleId="Small">
    <w:name w:val="Small"/>
    <w:basedOn w:val="DefaultParagraphFont"/>
    <w:rsid w:val="00AD025B"/>
    <w:rPr>
      <w:sz w:val="16"/>
    </w:rPr>
  </w:style>
  <w:style w:type="paragraph" w:customStyle="1" w:styleId="WideTable">
    <w:name w:val="Wide Table"/>
    <w:basedOn w:val="Normal"/>
    <w:rsid w:val="00AD025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D025B"/>
  </w:style>
  <w:style w:type="paragraph" w:styleId="Quote">
    <w:name w:val="Quote"/>
    <w:basedOn w:val="Heading1"/>
    <w:link w:val="QuoteChar"/>
    <w:qFormat/>
    <w:rsid w:val="00AD025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D025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D025B"/>
    <w:pPr>
      <w:pageBreakBefore/>
    </w:pPr>
  </w:style>
  <w:style w:type="paragraph" w:customStyle="1" w:styleId="Border">
    <w:name w:val="Border"/>
    <w:basedOn w:val="Normal"/>
    <w:qFormat/>
    <w:rsid w:val="00AD025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D025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025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025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D025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D025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D025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D025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D025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D025B"/>
    <w:rPr>
      <w:u w:val="single"/>
    </w:rPr>
  </w:style>
  <w:style w:type="character" w:customStyle="1" w:styleId="BoldandItalics">
    <w:name w:val="Bold and Italics"/>
    <w:qFormat/>
    <w:rsid w:val="00AD025B"/>
    <w:rPr>
      <w:b/>
      <w:i/>
      <w:u w:val="none"/>
    </w:rPr>
  </w:style>
  <w:style w:type="paragraph" w:styleId="BalloonText">
    <w:name w:val="Balloon Text"/>
    <w:basedOn w:val="Normal"/>
    <w:link w:val="BalloonTextChar"/>
    <w:rsid w:val="00AD02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D025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D025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D025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D025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D025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D025B"/>
    <w:pPr>
      <w:spacing w:before="0" w:after="0"/>
    </w:pPr>
  </w:style>
  <w:style w:type="paragraph" w:customStyle="1" w:styleId="BodyTextBold">
    <w:name w:val="Body Text Bold"/>
    <w:basedOn w:val="BodyText"/>
    <w:qFormat/>
    <w:rsid w:val="00AD025B"/>
    <w:rPr>
      <w:b/>
    </w:rPr>
  </w:style>
  <w:style w:type="character" w:styleId="Hyperlink">
    <w:name w:val="Hyperlink"/>
    <w:basedOn w:val="DefaultParagraphFont"/>
    <w:uiPriority w:val="99"/>
    <w:unhideWhenUsed/>
    <w:rsid w:val="006901C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456</Words>
  <Characters>2985</Characters>
  <Application>Microsoft Office Word</Application>
  <DocSecurity>0</DocSecurity>
  <Lines>93</Lines>
  <Paragraphs>54</Paragraphs>
  <ScaleCrop>false</ScaleCrop>
  <Company>Author-it Software Corporation Ltd.</Company>
  <LinksUpToDate>false</LinksUpToDate>
  <CharactersWithSpaces>3387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PSPFRU015 Manage fraud risk assessment and action plan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2022-11-21T08:58:00Z</dcterms:created>
  <dcterms:modified xsi:type="dcterms:W3CDTF">2022-11-21T08:58:00Z</dcterms:modified>
</cp:coreProperties>
</file>