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32A" w:rsidP="00864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PSPFRU015 Manage fraud risk assessment and action plan</w:t>
      </w:r>
      <w:r>
        <w:fldChar w:fldCharType="end"/>
      </w:r>
    </w:p>
    <w:p w:rsidR="0086432A" w:rsidP="0086432A">
      <w:pPr>
        <w:pStyle w:val="Version"/>
        <w:sectPr w:rsidSect="004F2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F94" w:rsidP="004F2F94">
      <w:pPr>
        <w:pStyle w:val="SuperHeading"/>
      </w:pPr>
      <w:r w:rsidRPr="004F2F94">
        <w:t>PSPFRU015 Manage fraud risk assessment and action plan</w:t>
      </w:r>
    </w:p>
    <w:p w:rsidR="00000000" w:rsidRPr="004F2F94" w:rsidP="004F2F94">
      <w:pPr>
        <w:pStyle w:val="Heading1"/>
      </w:pPr>
      <w:bookmarkStart w:id="1" w:name="O_1214796"/>
      <w:bookmarkEnd w:id="1"/>
      <w:r w:rsidRPr="004F2F94">
        <w:t>Modification History</w:t>
      </w:r>
    </w:p>
    <w:p w:rsidR="00000000" w:rsidRPr="004F2F94" w:rsidP="0086432A">
      <w:pPr>
        <w:pStyle w:val="BodyText"/>
      </w:pPr>
      <w:r w:rsidRPr="004F2F94">
        <w:t>Supersedes and is equivalent to PSPFRU010 Manage fraud risk assessment and action plan.</w:t>
      </w:r>
    </w:p>
    <w:p w:rsidR="00000000" w:rsidRPr="004F2F94" w:rsidP="004F2F94">
      <w:pPr>
        <w:pStyle w:val="Heading1"/>
      </w:pPr>
      <w:bookmarkStart w:id="2" w:name="O_1214797"/>
      <w:bookmarkEnd w:id="2"/>
      <w:r w:rsidRPr="004F2F94">
        <w:t>Application</w:t>
      </w:r>
    </w:p>
    <w:p w:rsidR="00000000" w:rsidRPr="004F2F94" w:rsidP="0086432A">
      <w:pPr>
        <w:pStyle w:val="BodyText"/>
      </w:pPr>
      <w:r w:rsidRPr="004F2F94">
        <w:t>This unit describes the performance outcomes, skills and knowledge required to manage fraud and co</w:t>
      </w:r>
      <w:r w:rsidRPr="004F2F94">
        <w:t xml:space="preserve">rruption risk assessment, where personnel conducting the risk assessment may be internal staff or consultants. </w:t>
      </w:r>
    </w:p>
    <w:p w:rsidR="00000000" w:rsidRPr="004F2F94" w:rsidP="0086432A">
      <w:pPr>
        <w:pStyle w:val="BodyText"/>
      </w:pPr>
      <w:r w:rsidRPr="004F2F94">
        <w:t>This unit applies to those working autonomously in management roles overseeing the fraud risk assessment and action plan, performing complex tas</w:t>
      </w:r>
      <w:r w:rsidRPr="004F2F94">
        <w:t>ks in a range of familiar contexts.</w:t>
      </w:r>
    </w:p>
    <w:p w:rsidR="00000000" w:rsidRPr="004F2F94" w:rsidP="0086432A">
      <w:pPr>
        <w:pStyle w:val="BodyText"/>
      </w:pPr>
      <w:r w:rsidRPr="004F2F94">
        <w:t>The skills in this unit must be applied in accordance with Commonwealth and State or Territory legislation, Australian standards and industry codes of practice.</w:t>
      </w:r>
    </w:p>
    <w:p w:rsidR="00000000" w:rsidRPr="004F2F94" w:rsidP="0086432A">
      <w:pPr>
        <w:pStyle w:val="BodyText"/>
      </w:pPr>
      <w:r w:rsidRPr="004F2F94">
        <w:t>No occupational licensing, certification or specific legisl</w:t>
      </w:r>
      <w:r w:rsidRPr="004F2F94">
        <w:t>ative requirements apply to this unit at the time of publication.</w:t>
      </w:r>
    </w:p>
    <w:p w:rsidR="00000000" w:rsidRPr="004F2F94" w:rsidP="004F2F94">
      <w:pPr>
        <w:pStyle w:val="Heading1"/>
      </w:pPr>
      <w:bookmarkStart w:id="3" w:name="O_1214798"/>
      <w:bookmarkEnd w:id="3"/>
      <w:r w:rsidRPr="004F2F94">
        <w:t>Pre-requisite Unit</w:t>
      </w:r>
    </w:p>
    <w:p w:rsidR="00000000" w:rsidRPr="004F2F94" w:rsidP="0086432A">
      <w:pPr>
        <w:pStyle w:val="BodyText"/>
      </w:pPr>
      <w:r w:rsidRPr="004F2F94">
        <w:t xml:space="preserve">Nil </w:t>
      </w:r>
    </w:p>
    <w:p w:rsidR="00000000" w:rsidRPr="004F2F94" w:rsidP="004F2F94">
      <w:pPr>
        <w:pStyle w:val="Heading1"/>
      </w:pPr>
      <w:bookmarkStart w:id="4" w:name="O_1214799"/>
      <w:bookmarkEnd w:id="4"/>
      <w:r w:rsidRPr="004F2F94">
        <w:t>Competency Field</w:t>
      </w:r>
    </w:p>
    <w:p w:rsidR="00000000" w:rsidRPr="004F2F94" w:rsidP="0086432A">
      <w:pPr>
        <w:pStyle w:val="BodyText"/>
      </w:pPr>
      <w:r w:rsidRPr="004F2F94">
        <w:t>Fraud control</w:t>
      </w:r>
    </w:p>
    <w:p w:rsidR="00000000" w:rsidRPr="004F2F94" w:rsidP="004F2F94">
      <w:pPr>
        <w:pStyle w:val="Heading1"/>
      </w:pPr>
      <w:bookmarkStart w:id="5" w:name="O_1214801"/>
      <w:bookmarkEnd w:id="5"/>
      <w:r w:rsidRPr="004F2F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BodyText"/>
            </w:pPr>
            <w:r w:rsidRPr="004F2F9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rPr>
                <w:rStyle w:val="SpecialBold"/>
              </w:rPr>
              <w:t>PERFORMANCE</w:t>
            </w:r>
            <w:r w:rsidRPr="004F2F94">
              <w:t xml:space="preserve"> </w:t>
            </w:r>
            <w:r w:rsidRPr="004F2F94">
              <w:rPr>
                <w:rStyle w:val="SpecialBold"/>
              </w:rPr>
              <w:t>CRITERIA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BodyText"/>
            </w:pPr>
            <w:r w:rsidRPr="004F2F94">
              <w:rPr>
                <w:rStyle w:val="Emphasis"/>
              </w:rPr>
              <w:t>Elements desc</w:t>
            </w:r>
            <w:r w:rsidRPr="004F2F94">
              <w:rPr>
                <w:rStyle w:val="Emphasis"/>
              </w:rPr>
              <w:t>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List"/>
              <w:rPr>
                <w:lang w:val="en-NZ"/>
              </w:rPr>
            </w:pPr>
            <w:r w:rsidRPr="004F2F94">
              <w:t>1.  Apply organisational philosophy.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List"/>
            </w:pPr>
            <w:r w:rsidRPr="004F2F94">
              <w:t>1.1. Consult stakeholders in the management of the fraud and corruption risk assessment process.</w:t>
            </w:r>
          </w:p>
          <w:p w:rsidR="00000000" w:rsidP="004F2F94">
            <w:pPr>
              <w:pStyle w:val="List"/>
              <w:rPr>
                <w:lang w:val="en-NZ"/>
              </w:rPr>
            </w:pPr>
            <w:r w:rsidRPr="004F2F94">
              <w:t>1.2. Identify and apply organisational philosophy when making decisions regarding development and implementation of the risk assessment process in the organisa</w:t>
            </w:r>
            <w:r w:rsidRPr="004F2F94">
              <w:t>tion.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List"/>
              <w:rPr>
                <w:lang w:val="en-NZ"/>
              </w:rPr>
            </w:pPr>
            <w:r w:rsidRPr="004F2F94">
              <w:t>2.  Select risk assessment methodology.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List"/>
            </w:pPr>
            <w:r w:rsidRPr="004F2F94">
              <w:t>2.1 Select risk assessment methodology based on an evaluation of a range of fraud and corruption risk management techniques, and factors, including the environment, culture and functions of the organisation.</w:t>
            </w:r>
          </w:p>
          <w:p w:rsidR="00000000" w:rsidRPr="004F2F94" w:rsidP="004F2F94">
            <w:pPr>
              <w:pStyle w:val="List"/>
            </w:pPr>
            <w:r w:rsidRPr="004F2F94">
              <w:t>2</w:t>
            </w:r>
            <w:r w:rsidRPr="004F2F94">
              <w:t>.2 Select methodology to meet the Australian standard for risk management according to organisational policies and procedures.</w:t>
            </w:r>
          </w:p>
          <w:p w:rsidR="00000000" w:rsidP="004F2F94">
            <w:pPr>
              <w:pStyle w:val="List"/>
              <w:rPr>
                <w:lang w:val="en-NZ"/>
              </w:rPr>
            </w:pPr>
            <w:r w:rsidRPr="004F2F94">
              <w:t>2.3 Monitor activities of personnel implementing the fraud and corruption risk assessment methodology.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List"/>
              <w:rPr>
                <w:lang w:val="en-NZ"/>
              </w:rPr>
            </w:pPr>
            <w:r w:rsidRPr="004F2F94">
              <w:t>3.  Establish reporting and review mechanisms.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List"/>
            </w:pPr>
            <w:r w:rsidRPr="004F2F94">
              <w:t>3.1 Identify appropriate actions to be implemented in reporting mechanisms.</w:t>
            </w:r>
          </w:p>
          <w:p w:rsidR="00000000" w:rsidRPr="004F2F94" w:rsidP="004F2F94">
            <w:pPr>
              <w:pStyle w:val="List"/>
            </w:pPr>
            <w:r w:rsidRPr="004F2F94">
              <w:t>3.2. Design review mechanisms for the fraud and corruption risk assessment process.</w:t>
            </w:r>
          </w:p>
          <w:p w:rsidR="00000000" w:rsidRPr="004F2F94" w:rsidP="004F2F94">
            <w:pPr>
              <w:pStyle w:val="List"/>
            </w:pPr>
            <w:r w:rsidRPr="004F2F94">
              <w:t xml:space="preserve">3.3 Establish reporting mechanisms to facilitate </w:t>
            </w:r>
            <w:r w:rsidRPr="004F2F94">
              <w:t>a flexible response to deficiencies identified.</w:t>
            </w:r>
          </w:p>
          <w:p w:rsidR="00000000" w:rsidRPr="004F2F94" w:rsidP="004F2F94">
            <w:pPr>
              <w:pStyle w:val="List"/>
            </w:pPr>
            <w:r w:rsidRPr="004F2F94">
              <w:t>3.4. Establish reporting mechanisms to meet the requirements of standards setting organisations.</w:t>
            </w:r>
          </w:p>
        </w:tc>
      </w:tr>
    </w:tbl>
    <w:p w:rsidR="00000000" w:rsidRPr="004F2F94" w:rsidP="004F2F94">
      <w:pPr>
        <w:pStyle w:val="BodyText"/>
      </w:pPr>
    </w:p>
    <w:p w:rsidR="00000000" w:rsidRPr="004F2F94" w:rsidP="004F2F94">
      <w:pPr>
        <w:pStyle w:val="AllowPageBreak"/>
      </w:pPr>
    </w:p>
    <w:p w:rsidR="00000000" w:rsidRPr="004F2F94" w:rsidP="004F2F94">
      <w:pPr>
        <w:pStyle w:val="Heading1"/>
      </w:pPr>
      <w:bookmarkStart w:id="6" w:name="O_1214802"/>
      <w:bookmarkEnd w:id="6"/>
      <w:r w:rsidRPr="004F2F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t>Foundation skills essential to performance in this unit, but not explici</w:t>
            </w:r>
            <w:r w:rsidRPr="004F2F94">
              <w:t>t in the performance criteria are listed here, along with a brief context statement.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BodyText"/>
            </w:pPr>
            <w:r w:rsidRPr="004F2F9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rPr>
                <w:rStyle w:val="SpecialBold"/>
              </w:rPr>
              <w:t>DESCRIPTION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ListBullet"/>
              <w:rPr>
                <w:lang w:val="en-NZ"/>
              </w:rPr>
            </w:pPr>
            <w:r w:rsidRPr="004F2F94">
              <w:t xml:space="preserve">interpret risk management standards and related information the fraud and corruption risk assessment and action plan. 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t>Oral communication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ListBullet"/>
              <w:rPr>
                <w:lang w:val="en-NZ"/>
              </w:rPr>
            </w:pPr>
            <w:r w:rsidRPr="004F2F94">
              <w:t>use communication, consultation and negotiation styles to suit different audiences and purposes.</w:t>
            </w:r>
          </w:p>
        </w:tc>
      </w:tr>
      <w:tr w:rsidTr="004F2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94">
            <w:pPr>
              <w:pStyle w:val="BodyText"/>
              <w:rPr>
                <w:lang w:val="en-NZ"/>
              </w:rPr>
            </w:pPr>
            <w:r w:rsidRPr="004F2F94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94" w:rsidP="004F2F94">
            <w:pPr>
              <w:pStyle w:val="ListBullet"/>
            </w:pPr>
            <w:r w:rsidRPr="004F2F94">
              <w:t>design and implement processes that address the organisational context and the requirements of fraud and c</w:t>
            </w:r>
            <w:r w:rsidRPr="004F2F94">
              <w:t>orruption risk management standards and methodology.</w:t>
            </w:r>
          </w:p>
        </w:tc>
      </w:tr>
    </w:tbl>
    <w:p w:rsidR="00000000" w:rsidRPr="004F2F94" w:rsidP="004F2F94">
      <w:pPr>
        <w:pStyle w:val="BodyText"/>
      </w:pPr>
    </w:p>
    <w:p w:rsidR="00000000" w:rsidRPr="004F2F94" w:rsidP="004F2F94">
      <w:pPr>
        <w:pStyle w:val="AllowPageBreak"/>
      </w:pPr>
    </w:p>
    <w:p w:rsidR="00000000" w:rsidRPr="004F2F94" w:rsidP="004F2F94">
      <w:pPr>
        <w:pStyle w:val="Heading1"/>
      </w:pPr>
      <w:bookmarkStart w:id="7" w:name="O_1214804"/>
      <w:bookmarkEnd w:id="7"/>
      <w:r w:rsidRPr="004F2F94">
        <w:t>Unit Mapping Information</w:t>
      </w:r>
    </w:p>
    <w:p w:rsidR="00000000" w:rsidRPr="004F2F94" w:rsidP="0086432A">
      <w:pPr>
        <w:pStyle w:val="BodyText"/>
      </w:pPr>
      <w:r w:rsidRPr="004F2F94">
        <w:t>Supersedes and is equivalent to PSPFRU010 Manage fraud risk assessment and action plan.</w:t>
      </w:r>
    </w:p>
    <w:p w:rsidR="00000000" w:rsidRPr="004F2F94" w:rsidP="004F2F94">
      <w:pPr>
        <w:pStyle w:val="Heading1"/>
      </w:pPr>
      <w:bookmarkStart w:id="8" w:name="O_1214811"/>
      <w:bookmarkEnd w:id="8"/>
      <w:r w:rsidRPr="004F2F94">
        <w:t>Links</w:t>
      </w:r>
    </w:p>
    <w:p w:rsidR="00000000" w:rsidRPr="004F2F94" w:rsidP="0086432A">
      <w:pPr>
        <w:pStyle w:val="BodyText"/>
      </w:pPr>
      <w:r w:rsidRPr="004F2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50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2F94" w:rsidP="0086432A">
      <w:pPr>
        <w:pStyle w:val="BodyText"/>
        <w:sectPr w:rsidSect="004F2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2F94" w:rsidP="004F2F94">
      <w:pPr>
        <w:pStyle w:val="SuperHeading"/>
      </w:pPr>
      <w:r w:rsidRPr="004F2F94">
        <w:t>Assessment Requirements for PSPFRU015 Manage fraud risk assessm</w:t>
      </w:r>
      <w:r w:rsidRPr="004F2F94">
        <w:t>ent and action plan</w:t>
      </w:r>
    </w:p>
    <w:p w:rsidR="00000000" w:rsidRPr="004F2F94" w:rsidP="004F2F94">
      <w:pPr>
        <w:pStyle w:val="Heading1"/>
      </w:pPr>
      <w:bookmarkStart w:id="9" w:name="O_1214806"/>
      <w:bookmarkEnd w:id="9"/>
      <w:r w:rsidRPr="004F2F94">
        <w:t>Modification History</w:t>
      </w:r>
    </w:p>
    <w:p w:rsidR="00000000" w:rsidRPr="004F2F94" w:rsidP="0086432A">
      <w:pPr>
        <w:pStyle w:val="BodyText"/>
      </w:pPr>
      <w:r w:rsidRPr="004F2F94">
        <w:t>Supersedes and is equivalent to PSPFRU010 Manage fraud risk assessment and action plan.</w:t>
      </w:r>
    </w:p>
    <w:p w:rsidR="00000000" w:rsidRPr="004F2F94" w:rsidP="004F2F94">
      <w:pPr>
        <w:pStyle w:val="Heading1"/>
      </w:pPr>
      <w:bookmarkStart w:id="10" w:name="O_1214807"/>
      <w:bookmarkEnd w:id="10"/>
      <w:r w:rsidRPr="004F2F94">
        <w:t>Performance Evidence</w:t>
      </w:r>
    </w:p>
    <w:p w:rsidR="00000000" w:rsidRPr="004F2F94" w:rsidP="0086432A">
      <w:pPr>
        <w:pStyle w:val="BodyText"/>
      </w:pPr>
      <w:r w:rsidRPr="004F2F94">
        <w:t>Evidence of the ability to complete tasks outlined in elements and performance criteria of this unit in the context of the job role, and on at least one occasion:</w:t>
      </w:r>
    </w:p>
    <w:p w:rsidR="00000000" w:rsidRPr="004F2F94" w:rsidP="004F2F94">
      <w:pPr>
        <w:pStyle w:val="ListBullet"/>
      </w:pPr>
      <w:r w:rsidRPr="004F2F94">
        <w:t>manage consultants or internal staff conducting a fraud or corruption risk assessment.</w:t>
      </w:r>
    </w:p>
    <w:p w:rsidR="00000000" w:rsidRPr="004F2F94" w:rsidP="004F2F94">
      <w:pPr>
        <w:pStyle w:val="AllowPageBreak"/>
      </w:pPr>
    </w:p>
    <w:p w:rsidR="00000000" w:rsidRPr="004F2F94" w:rsidP="004F2F94">
      <w:pPr>
        <w:pStyle w:val="Heading1"/>
      </w:pPr>
      <w:bookmarkStart w:id="11" w:name="O_1214808"/>
      <w:bookmarkEnd w:id="11"/>
      <w:r w:rsidRPr="004F2F94">
        <w:t>Knowledge Evidence</w:t>
      </w:r>
    </w:p>
    <w:p w:rsidR="00000000" w:rsidRPr="004F2F94" w:rsidP="0086432A">
      <w:pPr>
        <w:pStyle w:val="BodyText"/>
      </w:pPr>
      <w:r w:rsidRPr="004F2F94">
        <w:t>Demonstrated knowledge required to complete the tasks outlined in elements and performance criteria of this unit:</w:t>
      </w:r>
    </w:p>
    <w:p w:rsidR="00000000" w:rsidRPr="004F2F94" w:rsidP="004F2F94">
      <w:pPr>
        <w:pStyle w:val="ListBullet"/>
      </w:pPr>
      <w:r w:rsidRPr="004F2F94">
        <w:t>agency corporate plan and nature of service provided by the agency</w:t>
      </w:r>
    </w:p>
    <w:p w:rsidR="00000000" w:rsidRPr="004F2F94" w:rsidP="004F2F94">
      <w:pPr>
        <w:pStyle w:val="ListBullet"/>
      </w:pPr>
      <w:r w:rsidRPr="004F2F94">
        <w:t>external reporting requirements</w:t>
      </w:r>
    </w:p>
    <w:p w:rsidR="00000000" w:rsidRPr="004F2F94" w:rsidP="004F2F94">
      <w:pPr>
        <w:pStyle w:val="ListBullet"/>
      </w:pPr>
      <w:r w:rsidRPr="004F2F94">
        <w:t xml:space="preserve">risk </w:t>
      </w:r>
      <w:r w:rsidRPr="004F2F94">
        <w:t>profile of the agency</w:t>
      </w:r>
    </w:p>
    <w:p w:rsidR="00000000" w:rsidRPr="004F2F94" w:rsidP="004F2F94">
      <w:pPr>
        <w:pStyle w:val="ListBullet"/>
      </w:pPr>
      <w:r w:rsidRPr="004F2F94">
        <w:t xml:space="preserve">risk management standards and techniques </w:t>
      </w:r>
    </w:p>
    <w:p w:rsidR="00000000" w:rsidRPr="004F2F94" w:rsidP="004F2F94">
      <w:pPr>
        <w:pStyle w:val="ListBullet"/>
      </w:pPr>
      <w:r w:rsidRPr="004F2F94">
        <w:t>control framework operating in the agency</w:t>
      </w:r>
    </w:p>
    <w:p w:rsidR="00000000" w:rsidRPr="004F2F94" w:rsidP="004F2F94">
      <w:pPr>
        <w:pStyle w:val="ListBullet"/>
      </w:pPr>
      <w:r w:rsidRPr="004F2F94">
        <w:t>how the fraud and corruption risk assessment methodology address the agency-relevant criteria for measuring risk</w:t>
      </w:r>
    </w:p>
    <w:p w:rsidR="00000000" w:rsidRPr="004F2F94" w:rsidP="004F2F94">
      <w:pPr>
        <w:pStyle w:val="ListBullet"/>
      </w:pPr>
      <w:r w:rsidRPr="004F2F94">
        <w:t>legislation, policies procedures, gui</w:t>
      </w:r>
      <w:r w:rsidRPr="004F2F94">
        <w:t>delines and standards  in the context of fraud and corruption risk assessment</w:t>
      </w:r>
    </w:p>
    <w:p w:rsidR="00000000" w:rsidRPr="004F2F94" w:rsidP="004F2F94">
      <w:pPr>
        <w:pStyle w:val="ListBullet"/>
      </w:pPr>
      <w:r w:rsidRPr="004F2F94">
        <w:t>public sector values codes of conduct, guidelines and standards relating to fraud and corruption control.</w:t>
      </w:r>
    </w:p>
    <w:p w:rsidR="00000000" w:rsidRPr="004F2F94" w:rsidP="004F2F94">
      <w:pPr>
        <w:pStyle w:val="AllowPageBreak"/>
      </w:pPr>
    </w:p>
    <w:p w:rsidR="00000000" w:rsidRPr="004F2F94" w:rsidP="004F2F94">
      <w:pPr>
        <w:pStyle w:val="Heading1"/>
      </w:pPr>
      <w:bookmarkStart w:id="12" w:name="O_1214809"/>
      <w:bookmarkEnd w:id="12"/>
      <w:r w:rsidRPr="004F2F94">
        <w:t>Assessment Conditions</w:t>
      </w:r>
    </w:p>
    <w:p w:rsidR="00000000" w:rsidRPr="004F2F94" w:rsidP="0086432A">
      <w:pPr>
        <w:pStyle w:val="BodyText"/>
      </w:pPr>
      <w:r w:rsidRPr="004F2F94">
        <w:t xml:space="preserve">Skills must be demonstrated in </w:t>
      </w:r>
      <w:r w:rsidRPr="004F2F94">
        <w:t xml:space="preserve">the workplace or in a simulated environment that reflects workplace conditions. </w:t>
      </w:r>
    </w:p>
    <w:p w:rsidR="00000000" w:rsidRPr="004F2F94" w:rsidP="0086432A">
      <w:pPr>
        <w:pStyle w:val="BodyText"/>
      </w:pPr>
      <w:r w:rsidRPr="004F2F94">
        <w:t>Assessment must ensure access to:</w:t>
      </w:r>
    </w:p>
    <w:p w:rsidR="00000000" w:rsidRPr="004F2F94" w:rsidP="004F2F94">
      <w:pPr>
        <w:pStyle w:val="ListBullet"/>
      </w:pPr>
      <w:r w:rsidRPr="004F2F94">
        <w:t>legislation, policies procedures, guidelines and standards in the context of fraud and corruption risk assessment</w:t>
      </w:r>
    </w:p>
    <w:p w:rsidR="00000000" w:rsidRPr="004F2F94" w:rsidP="004F2F94">
      <w:pPr>
        <w:pStyle w:val="ListBullet"/>
      </w:pPr>
      <w:r w:rsidRPr="004F2F94">
        <w:t>a relevant risk assessment</w:t>
      </w:r>
      <w:r w:rsidRPr="004F2F94">
        <w:t xml:space="preserve"> planning framework </w:t>
      </w:r>
    </w:p>
    <w:p w:rsidR="00000000" w:rsidRPr="004F2F94" w:rsidP="004F2F94">
      <w:pPr>
        <w:pStyle w:val="ListBullet"/>
      </w:pPr>
      <w:r w:rsidRPr="004F2F94">
        <w:t>resources and equipment required of the working environment.</w:t>
      </w:r>
    </w:p>
    <w:p w:rsidR="00000000" w:rsidRPr="004F2F94" w:rsidP="0086432A">
      <w:pPr>
        <w:pStyle w:val="BodyText"/>
      </w:pPr>
      <w:r w:rsidRPr="004F2F94">
        <w:t>Assessors must satisfy the Standards for Registered Training Organisations’ requirements for assessors.</w:t>
      </w:r>
    </w:p>
    <w:p w:rsidR="00000000" w:rsidRPr="004F2F94" w:rsidP="004F2F94">
      <w:pPr>
        <w:pStyle w:val="Heading1"/>
      </w:pPr>
      <w:bookmarkStart w:id="13" w:name="O_1214812"/>
      <w:bookmarkEnd w:id="13"/>
      <w:r w:rsidRPr="004F2F94">
        <w:t>Links</w:t>
      </w:r>
    </w:p>
    <w:p w:rsidR="00000000" w:rsidRPr="004F2F94" w:rsidP="0086432A">
      <w:pPr>
        <w:pStyle w:val="BodyText"/>
      </w:pPr>
      <w:r w:rsidRPr="004F2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50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2F94" w:rsidP="004F2F94"/>
    <w:sectPr w:rsidSect="004F2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 w:rsidRPr="0086432A" w:rsidP="00864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2A" w:rsidP="004F2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32A" w:rsidP="004F2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432A" w:rsidP="004F2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 w:rsidP="004F2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32A">
      <w:t>Approved</w:t>
    </w:r>
    <w:r w:rsidR="00864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32A">
      <w:rPr>
        <w:noProof/>
      </w:rPr>
      <w:t>4</w:t>
    </w:r>
    <w:r>
      <w:rPr>
        <w:noProof/>
      </w:rPr>
      <w:fldChar w:fldCharType="end"/>
    </w:r>
  </w:p>
  <w:p w:rsidR="004F2F94" w:rsidP="004F2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32A">
      <w:t>Public Skills Australia</w:t>
    </w:r>
    <w:r w:rsidR="0086432A">
      <w:fldChar w:fldCharType="end"/>
    </w:r>
  </w:p>
  <w:p w:rsidR="004F2F94" w:rsidP="004F2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F94" w:rsidRPr="0086432A" w:rsidP="00864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2A" w:rsidRPr="002D2AF8" w:rsidP="004F2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PSPFRU015 Manage fraud risk assessment and action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32A" w:rsidP="004F2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94" w:rsidRPr="002D2AF8" w:rsidP="004F2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32A">
      <w:t>PSPFRU015 Manage fraud risk assessment and action plan</w:t>
    </w:r>
    <w:r w:rsidR="00864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32A">
      <w:rPr>
        <w:noProof/>
      </w:rPr>
      <w:t>2 March 2025</w:t>
    </w:r>
    <w:r>
      <w:fldChar w:fldCharType="end"/>
    </w:r>
  </w:p>
  <w:p w:rsidR="004F2F94" w:rsidP="004F2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42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586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F94"/>
  </w:style>
  <w:style w:type="character" w:customStyle="1" w:styleId="Heading1Char">
    <w:name w:val="Heading 1 Char"/>
    <w:basedOn w:val="DefaultParagraphFont"/>
    <w:link w:val="Heading1"/>
    <w:rsid w:val="004F2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2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2F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F94"/>
    <w:rPr>
      <w:b/>
      <w:spacing w:val="0"/>
    </w:rPr>
  </w:style>
  <w:style w:type="character" w:styleId="Emphasis">
    <w:name w:val="Emphasis"/>
    <w:basedOn w:val="DefaultParagraphFont"/>
    <w:qFormat/>
    <w:rsid w:val="004F2F94"/>
    <w:rPr>
      <w:i/>
    </w:rPr>
  </w:style>
  <w:style w:type="paragraph" w:customStyle="1" w:styleId="SuperHeading">
    <w:name w:val="SuperHeading"/>
    <w:basedOn w:val="Normal"/>
    <w:rsid w:val="004F2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2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F94"/>
  </w:style>
  <w:style w:type="paragraph" w:styleId="TableofFigures">
    <w:name w:val="table of figures"/>
    <w:basedOn w:val="Normal"/>
    <w:next w:val="Normal"/>
    <w:semiHidden/>
    <w:rsid w:val="004F2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2F94"/>
    <w:rPr>
      <w:rFonts w:ascii="Wingdings" w:hAnsi="Wingdings"/>
    </w:rPr>
  </w:style>
  <w:style w:type="paragraph" w:customStyle="1" w:styleId="TableHeading">
    <w:name w:val="Table Heading"/>
    <w:basedOn w:val="HeadingBase"/>
    <w:rsid w:val="004F2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F94"/>
    <w:rPr>
      <w:color w:val="0033CC"/>
      <w:u w:val="none"/>
    </w:rPr>
  </w:style>
  <w:style w:type="paragraph" w:customStyle="1" w:styleId="BodyTextRight">
    <w:name w:val="Body Text Right"/>
    <w:basedOn w:val="BodyText"/>
    <w:rsid w:val="004F2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F94"/>
    <w:rPr>
      <w:sz w:val="32"/>
    </w:rPr>
  </w:style>
  <w:style w:type="paragraph" w:customStyle="1" w:styleId="HeadingProcedure">
    <w:name w:val="Heading Procedure"/>
    <w:basedOn w:val="HeadingBase"/>
    <w:next w:val="Normal"/>
    <w:rsid w:val="004F2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F94"/>
    <w:pPr>
      <w:spacing w:before="60" w:after="60"/>
    </w:pPr>
  </w:style>
  <w:style w:type="paragraph" w:styleId="ListContinue">
    <w:name w:val="List Continue"/>
    <w:basedOn w:val="List"/>
    <w:rsid w:val="004F2F94"/>
    <w:pPr>
      <w:ind w:firstLine="0"/>
    </w:pPr>
  </w:style>
  <w:style w:type="paragraph" w:customStyle="1" w:styleId="ListNote">
    <w:name w:val="List Note"/>
    <w:basedOn w:val="List"/>
    <w:rsid w:val="004F2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F94"/>
    <w:rPr>
      <w:rFonts w:ascii="Courier New" w:hAnsi="Courier New"/>
    </w:rPr>
  </w:style>
  <w:style w:type="paragraph" w:customStyle="1" w:styleId="NoteBullet">
    <w:name w:val="Note Bullet"/>
    <w:basedOn w:val="Note"/>
    <w:rsid w:val="004F2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2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F94"/>
    <w:rPr>
      <w:b/>
      <w:smallCaps/>
    </w:rPr>
  </w:style>
  <w:style w:type="paragraph" w:customStyle="1" w:styleId="TableListNumber">
    <w:name w:val="Table List Number"/>
    <w:basedOn w:val="ListNumber"/>
    <w:rsid w:val="004F2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F94"/>
    <w:pPr>
      <w:numPr>
        <w:numId w:val="8"/>
      </w:numPr>
    </w:pPr>
  </w:style>
  <w:style w:type="paragraph" w:customStyle="1" w:styleId="ListAlpha2">
    <w:name w:val="List Alpha 2"/>
    <w:basedOn w:val="List2"/>
    <w:rsid w:val="004F2F94"/>
    <w:pPr>
      <w:numPr>
        <w:numId w:val="7"/>
      </w:numPr>
    </w:pPr>
  </w:style>
  <w:style w:type="paragraph" w:styleId="List2">
    <w:name w:val="List 2"/>
    <w:basedOn w:val="BodyText"/>
    <w:rsid w:val="004F2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2F94"/>
    <w:pPr>
      <w:numPr>
        <w:numId w:val="3"/>
      </w:numPr>
    </w:pPr>
  </w:style>
  <w:style w:type="paragraph" w:styleId="ListContinue2">
    <w:name w:val="List Continue 2"/>
    <w:basedOn w:val="List2"/>
    <w:rsid w:val="004F2F94"/>
    <w:pPr>
      <w:ind w:firstLine="0"/>
    </w:pPr>
  </w:style>
  <w:style w:type="paragraph" w:styleId="ListContinue3">
    <w:name w:val="List Continue 3"/>
    <w:basedOn w:val="List3"/>
    <w:rsid w:val="004F2F94"/>
    <w:pPr>
      <w:ind w:left="1021" w:firstLine="0"/>
    </w:pPr>
  </w:style>
  <w:style w:type="paragraph" w:styleId="ListContinue4">
    <w:name w:val="List Continue 4"/>
    <w:basedOn w:val="List4"/>
    <w:rsid w:val="004F2F94"/>
    <w:pPr>
      <w:ind w:firstLine="0"/>
    </w:pPr>
  </w:style>
  <w:style w:type="paragraph" w:styleId="ListContinue5">
    <w:name w:val="List Continue 5"/>
    <w:basedOn w:val="List5"/>
    <w:rsid w:val="004F2F94"/>
    <w:pPr>
      <w:ind w:firstLine="0"/>
    </w:pPr>
  </w:style>
  <w:style w:type="paragraph" w:styleId="ListNumber3">
    <w:name w:val="List Number 3"/>
    <w:basedOn w:val="List3"/>
    <w:rsid w:val="004F2F94"/>
    <w:pPr>
      <w:numPr>
        <w:numId w:val="4"/>
      </w:numPr>
    </w:pPr>
  </w:style>
  <w:style w:type="paragraph" w:styleId="ListNumber4">
    <w:name w:val="List Number 4"/>
    <w:basedOn w:val="List4"/>
    <w:rsid w:val="004F2F94"/>
    <w:pPr>
      <w:numPr>
        <w:numId w:val="5"/>
      </w:numPr>
    </w:pPr>
  </w:style>
  <w:style w:type="paragraph" w:styleId="ListNumber5">
    <w:name w:val="List Number 5"/>
    <w:basedOn w:val="List5"/>
    <w:rsid w:val="004F2F94"/>
    <w:pPr>
      <w:numPr>
        <w:numId w:val="6"/>
      </w:numPr>
    </w:pPr>
  </w:style>
  <w:style w:type="paragraph" w:styleId="BlockText">
    <w:name w:val="Block Text"/>
    <w:basedOn w:val="Normal"/>
    <w:rsid w:val="004F2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F94"/>
    <w:rPr>
      <w:sz w:val="16"/>
      <w:vertAlign w:val="superscript"/>
    </w:rPr>
  </w:style>
  <w:style w:type="character" w:customStyle="1" w:styleId="Symbols">
    <w:name w:val="Symbols"/>
    <w:basedOn w:val="DefaultParagraphFont"/>
    <w:rsid w:val="004F2F94"/>
    <w:rPr>
      <w:rFonts w:ascii="Symbol" w:hAnsi="Symbol"/>
    </w:rPr>
  </w:style>
  <w:style w:type="character" w:customStyle="1" w:styleId="MenuOptions">
    <w:name w:val="Menu Options"/>
    <w:basedOn w:val="DefaultParagraphFont"/>
    <w:rsid w:val="004F2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F94"/>
    <w:rPr>
      <w:b/>
    </w:rPr>
  </w:style>
  <w:style w:type="character" w:customStyle="1" w:styleId="Underlined">
    <w:name w:val="Underlined"/>
    <w:basedOn w:val="DefaultParagraphFont"/>
    <w:rsid w:val="004F2F94"/>
    <w:rPr>
      <w:u w:val="single"/>
    </w:rPr>
  </w:style>
  <w:style w:type="paragraph" w:customStyle="1" w:styleId="TableBodyTextRight">
    <w:name w:val="Table Body Text Right"/>
    <w:basedOn w:val="TableBodyText"/>
    <w:rsid w:val="004F2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F94"/>
    <w:rPr>
      <w:sz w:val="18"/>
    </w:rPr>
  </w:style>
  <w:style w:type="paragraph" w:customStyle="1" w:styleId="BodySmallRight">
    <w:name w:val="Body Small Right"/>
    <w:basedOn w:val="BodyTextRight"/>
    <w:rsid w:val="004F2F94"/>
    <w:rPr>
      <w:sz w:val="18"/>
      <w:szCs w:val="18"/>
    </w:rPr>
  </w:style>
  <w:style w:type="paragraph" w:customStyle="1" w:styleId="MarginEdition">
    <w:name w:val="Margin Edition"/>
    <w:basedOn w:val="MarginNote"/>
    <w:rsid w:val="004F2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F94"/>
    <w:rPr>
      <w:sz w:val="2"/>
      <w:szCs w:val="2"/>
    </w:rPr>
  </w:style>
  <w:style w:type="character" w:customStyle="1" w:styleId="Small">
    <w:name w:val="Small"/>
    <w:basedOn w:val="DefaultParagraphFont"/>
    <w:rsid w:val="004F2F94"/>
    <w:rPr>
      <w:sz w:val="16"/>
    </w:rPr>
  </w:style>
  <w:style w:type="paragraph" w:customStyle="1" w:styleId="WideTable">
    <w:name w:val="Wide Table"/>
    <w:basedOn w:val="Normal"/>
    <w:rsid w:val="004F2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F94"/>
  </w:style>
  <w:style w:type="paragraph" w:styleId="Quote">
    <w:name w:val="Quote"/>
    <w:basedOn w:val="Heading1"/>
    <w:link w:val="QuoteChar"/>
    <w:qFormat/>
    <w:rsid w:val="004F2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F94"/>
    <w:pPr>
      <w:pageBreakBefore/>
    </w:pPr>
  </w:style>
  <w:style w:type="paragraph" w:customStyle="1" w:styleId="Border">
    <w:name w:val="Border"/>
    <w:basedOn w:val="Normal"/>
    <w:qFormat/>
    <w:rsid w:val="004F2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F94"/>
    <w:rPr>
      <w:u w:val="single"/>
    </w:rPr>
  </w:style>
  <w:style w:type="character" w:customStyle="1" w:styleId="BoldandItalics">
    <w:name w:val="Bold and Italics"/>
    <w:qFormat/>
    <w:rsid w:val="004F2F94"/>
    <w:rPr>
      <w:b/>
      <w:i/>
      <w:u w:val="none"/>
    </w:rPr>
  </w:style>
  <w:style w:type="paragraph" w:styleId="BalloonText">
    <w:name w:val="Balloon Text"/>
    <w:basedOn w:val="Normal"/>
    <w:link w:val="BalloonTextChar"/>
    <w:rsid w:val="004F2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F94"/>
    <w:pPr>
      <w:spacing w:before="0" w:after="0"/>
    </w:pPr>
  </w:style>
  <w:style w:type="paragraph" w:customStyle="1" w:styleId="BodyTextBold">
    <w:name w:val="Body Text Bold"/>
    <w:basedOn w:val="BodyText"/>
    <w:qFormat/>
    <w:rsid w:val="004F2F94"/>
    <w:rPr>
      <w:b/>
    </w:rPr>
  </w:style>
  <w:style w:type="character" w:styleId="Hyperlink">
    <w:name w:val="Hyperlink"/>
    <w:basedOn w:val="DefaultParagraphFont"/>
    <w:uiPriority w:val="99"/>
    <w:unhideWhenUsed/>
    <w:rsid w:val="00864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4624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PSPFRU015 Manage fraud risk assessment and action plan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