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54AB" w:rsidP="007C54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PSPFRU015 Manage fraud risk assessment and action plan</w:t>
      </w:r>
      <w:r>
        <w:fldChar w:fldCharType="end"/>
      </w:r>
    </w:p>
    <w:p w:rsidR="007C54AB" w:rsidP="007C54AB">
      <w:pPr>
        <w:pStyle w:val="Version"/>
        <w:sectPr w:rsidSect="00E24F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4F1F" w:rsidP="00E24F1F">
      <w:pPr>
        <w:pStyle w:val="SuperHeading"/>
      </w:pPr>
      <w:r w:rsidRPr="00E24F1F">
        <w:t>Assessment Requirements for PSPFRU015 Manage fraud risk</w:t>
      </w:r>
      <w:r w:rsidRPr="00E24F1F">
        <w:t xml:space="preserve"> assessment and action plan</w:t>
      </w:r>
    </w:p>
    <w:p w:rsidR="00000000" w:rsidRPr="00E24F1F" w:rsidP="00E24F1F">
      <w:pPr>
        <w:pStyle w:val="Heading1"/>
      </w:pPr>
      <w:bookmarkStart w:id="1" w:name="O_1214806"/>
      <w:bookmarkEnd w:id="1"/>
      <w:r w:rsidRPr="00E24F1F">
        <w:t>Modification History</w:t>
      </w:r>
    </w:p>
    <w:p w:rsidR="00000000" w:rsidRPr="00E24F1F" w:rsidP="007C54AB">
      <w:pPr>
        <w:pStyle w:val="BodyText"/>
      </w:pPr>
      <w:r w:rsidRPr="00E24F1F">
        <w:t>Supersedes and is equivalent to PSPFRU010 Manage fraud risk assessment and action plan.</w:t>
      </w:r>
    </w:p>
    <w:p w:rsidR="00000000" w:rsidRPr="00E24F1F" w:rsidP="00E24F1F">
      <w:pPr>
        <w:pStyle w:val="Heading1"/>
      </w:pPr>
      <w:bookmarkStart w:id="2" w:name="O_1214807"/>
      <w:bookmarkEnd w:id="2"/>
      <w:r w:rsidRPr="00E24F1F">
        <w:t>Performance Evidence</w:t>
      </w:r>
    </w:p>
    <w:p w:rsidR="00000000" w:rsidRPr="00E24F1F" w:rsidP="007C54AB">
      <w:pPr>
        <w:pStyle w:val="BodyText"/>
      </w:pPr>
      <w:r w:rsidRPr="00E24F1F">
        <w:t>Evidence of the ability to complete tasks outlined in elements and performance criteria of this unit in the context of the job role, and on at least one occasion:</w:t>
      </w:r>
    </w:p>
    <w:p w:rsidR="00000000" w:rsidRPr="00E24F1F" w:rsidP="00E24F1F">
      <w:pPr>
        <w:pStyle w:val="ListBullet"/>
      </w:pPr>
      <w:r w:rsidRPr="00E24F1F">
        <w:t>manage consultants or internal staff conducting a fraud or corruption risk assessment.</w:t>
      </w:r>
    </w:p>
    <w:p w:rsidR="00000000" w:rsidRPr="00E24F1F" w:rsidP="00E24F1F">
      <w:pPr>
        <w:pStyle w:val="AllowPageBreak"/>
      </w:pPr>
    </w:p>
    <w:p w:rsidR="00000000" w:rsidRPr="00E24F1F" w:rsidP="00E24F1F">
      <w:pPr>
        <w:pStyle w:val="Heading1"/>
      </w:pPr>
      <w:bookmarkStart w:id="3" w:name="O_1214808"/>
      <w:bookmarkEnd w:id="3"/>
      <w:r w:rsidRPr="00E24F1F">
        <w:t>Knowledge Evidence</w:t>
      </w:r>
    </w:p>
    <w:p w:rsidR="00000000" w:rsidRPr="00E24F1F" w:rsidP="007C54AB">
      <w:pPr>
        <w:pStyle w:val="BodyText"/>
      </w:pPr>
      <w:r w:rsidRPr="00E24F1F">
        <w:t>Demonstrated knowledge required to complete the tasks outlined in elements and performance criteria of this unit:</w:t>
      </w:r>
    </w:p>
    <w:p w:rsidR="00000000" w:rsidRPr="00E24F1F" w:rsidP="00E24F1F">
      <w:pPr>
        <w:pStyle w:val="ListBullet"/>
      </w:pPr>
      <w:r w:rsidRPr="00E24F1F">
        <w:t>agency corporate plan and nature of service provided by the agency</w:t>
      </w:r>
    </w:p>
    <w:p w:rsidR="00000000" w:rsidRPr="00E24F1F" w:rsidP="00E24F1F">
      <w:pPr>
        <w:pStyle w:val="ListBullet"/>
      </w:pPr>
      <w:r w:rsidRPr="00E24F1F">
        <w:t>external reporting requirements</w:t>
      </w:r>
    </w:p>
    <w:p w:rsidR="00000000" w:rsidRPr="00E24F1F" w:rsidP="00E24F1F">
      <w:pPr>
        <w:pStyle w:val="ListBullet"/>
      </w:pPr>
      <w:r w:rsidRPr="00E24F1F">
        <w:t>risk prof</w:t>
      </w:r>
      <w:r w:rsidRPr="00E24F1F">
        <w:t>ile of the agency</w:t>
      </w:r>
    </w:p>
    <w:p w:rsidR="00000000" w:rsidRPr="00E24F1F" w:rsidP="00E24F1F">
      <w:pPr>
        <w:pStyle w:val="ListBullet"/>
      </w:pPr>
      <w:r w:rsidRPr="00E24F1F">
        <w:t xml:space="preserve">risk management standards and techniques </w:t>
      </w:r>
    </w:p>
    <w:p w:rsidR="00000000" w:rsidRPr="00E24F1F" w:rsidP="00E24F1F">
      <w:pPr>
        <w:pStyle w:val="ListBullet"/>
      </w:pPr>
      <w:r w:rsidRPr="00E24F1F">
        <w:t>control framework operating in the agency</w:t>
      </w:r>
    </w:p>
    <w:p w:rsidR="00000000" w:rsidRPr="00E24F1F" w:rsidP="00E24F1F">
      <w:pPr>
        <w:pStyle w:val="ListBullet"/>
      </w:pPr>
      <w:r w:rsidRPr="00E24F1F">
        <w:t>how the fraud and corruption risk assessment methodology address the agency-relevant criteria for measuring risk</w:t>
      </w:r>
    </w:p>
    <w:p w:rsidR="00000000" w:rsidRPr="00E24F1F" w:rsidP="00E24F1F">
      <w:pPr>
        <w:pStyle w:val="ListBullet"/>
      </w:pPr>
      <w:r w:rsidRPr="00E24F1F">
        <w:t>legislation, policies procedures, guideli</w:t>
      </w:r>
      <w:r w:rsidRPr="00E24F1F">
        <w:t>nes and standards  in the context of fraud and corruption risk assessment</w:t>
      </w:r>
    </w:p>
    <w:p w:rsidR="00000000" w:rsidRPr="00E24F1F" w:rsidP="00E24F1F">
      <w:pPr>
        <w:pStyle w:val="ListBullet"/>
      </w:pPr>
      <w:r w:rsidRPr="00E24F1F">
        <w:t>public sector values codes of conduct, guidelines and standards relating to fraud and corruption control.</w:t>
      </w:r>
    </w:p>
    <w:p w:rsidR="00000000" w:rsidRPr="00E24F1F" w:rsidP="00E24F1F">
      <w:pPr>
        <w:pStyle w:val="AllowPageBreak"/>
      </w:pPr>
    </w:p>
    <w:p w:rsidR="00000000" w:rsidRPr="00E24F1F" w:rsidP="00E24F1F">
      <w:pPr>
        <w:pStyle w:val="Heading1"/>
      </w:pPr>
      <w:bookmarkStart w:id="4" w:name="O_1214809"/>
      <w:bookmarkEnd w:id="4"/>
      <w:r w:rsidRPr="00E24F1F">
        <w:t>Assessment Conditions</w:t>
      </w:r>
    </w:p>
    <w:p w:rsidR="00000000" w:rsidRPr="00E24F1F" w:rsidP="007C54AB">
      <w:pPr>
        <w:pStyle w:val="BodyText"/>
      </w:pPr>
      <w:r w:rsidRPr="00E24F1F">
        <w:t xml:space="preserve">Skills must be demonstrated in the </w:t>
      </w:r>
      <w:r w:rsidRPr="00E24F1F">
        <w:t xml:space="preserve">workplace or in a simulated environment that reflects workplace conditions. </w:t>
      </w:r>
    </w:p>
    <w:p w:rsidR="00000000" w:rsidRPr="00E24F1F" w:rsidP="007C54AB">
      <w:pPr>
        <w:pStyle w:val="BodyText"/>
      </w:pPr>
      <w:r w:rsidRPr="00E24F1F">
        <w:t>Assessment must ensure access to:</w:t>
      </w:r>
    </w:p>
    <w:p w:rsidR="00000000" w:rsidRPr="00E24F1F" w:rsidP="00E24F1F">
      <w:pPr>
        <w:pStyle w:val="ListBullet"/>
      </w:pPr>
      <w:r w:rsidRPr="00E24F1F">
        <w:t>legislation, policies procedures, guidelines and standards in the context of fraud and corruption risk assessment</w:t>
      </w:r>
    </w:p>
    <w:p w:rsidR="00000000" w:rsidRPr="00E24F1F" w:rsidP="00E24F1F">
      <w:pPr>
        <w:pStyle w:val="ListBullet"/>
      </w:pPr>
      <w:r w:rsidRPr="00E24F1F">
        <w:t xml:space="preserve">a relevant risk assessment planning framework </w:t>
      </w:r>
    </w:p>
    <w:p w:rsidR="00000000" w:rsidRPr="00E24F1F" w:rsidP="00E24F1F">
      <w:pPr>
        <w:pStyle w:val="ListBullet"/>
      </w:pPr>
      <w:r w:rsidRPr="00E24F1F">
        <w:t>resources and equipment required of the working environment.</w:t>
      </w:r>
    </w:p>
    <w:p w:rsidR="00000000" w:rsidRPr="00E24F1F" w:rsidP="007C54AB">
      <w:pPr>
        <w:pStyle w:val="BodyText"/>
      </w:pPr>
      <w:r w:rsidRPr="00E24F1F">
        <w:t>Assessors must satisfy the Standards for Registered Training Organisations’ requirements for assessors.</w:t>
      </w:r>
    </w:p>
    <w:p w:rsidR="00000000" w:rsidRPr="00E24F1F" w:rsidP="00E24F1F">
      <w:pPr>
        <w:pStyle w:val="Heading1"/>
      </w:pPr>
      <w:bookmarkStart w:id="5" w:name="O_1214812"/>
      <w:bookmarkEnd w:id="5"/>
      <w:r w:rsidRPr="00E24F1F">
        <w:t>Links</w:t>
      </w:r>
    </w:p>
    <w:p w:rsidR="00000000" w:rsidRPr="00E24F1F" w:rsidP="007C54AB">
      <w:pPr>
        <w:pStyle w:val="BodyText"/>
      </w:pPr>
      <w:r w:rsidRPr="00E24F1F">
        <w:t>Companion Volume im</w:t>
      </w:r>
      <w:r w:rsidRPr="00E24F1F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F5666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E24F1F" w:rsidP="00E24F1F"/>
    <w:sectPr w:rsidSect="00E24F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1F" w:rsidRPr="007C54AB" w:rsidP="007C54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4AB" w:rsidP="00E24F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C54AB" w:rsidP="00E24F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C54AB" w:rsidP="00E24F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4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4F1F" w:rsidRPr="007C54AB" w:rsidP="007C54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F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54AB" w:rsidRPr="002D2AF8" w:rsidP="00E24F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PSPFRU015 Manage fraud risk assessment and action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7C54AB" w:rsidP="00E24F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4A79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0821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4F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4F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4F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4F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4F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4F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4F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4F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4F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4F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4F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4F1F"/>
  </w:style>
  <w:style w:type="character" w:customStyle="1" w:styleId="Heading1Char">
    <w:name w:val="Heading 1 Char"/>
    <w:basedOn w:val="DefaultParagraphFont"/>
    <w:link w:val="Heading1"/>
    <w:rsid w:val="00E24F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4F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4F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4F1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24F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4F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4F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4F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4F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4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4F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4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4F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4F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4F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4F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4F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4F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4F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4F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4F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4F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4F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4F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4F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4F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4F1F"/>
    <w:rPr>
      <w:b/>
      <w:spacing w:val="0"/>
    </w:rPr>
  </w:style>
  <w:style w:type="paragraph" w:customStyle="1" w:styleId="SuperTitle">
    <w:name w:val="SuperTitle"/>
    <w:basedOn w:val="Title"/>
    <w:rsid w:val="00E24F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4F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4F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4F1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4F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4F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4F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4F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4F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4F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4F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4F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4F1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4F1F"/>
    <w:rPr>
      <w:i/>
    </w:rPr>
  </w:style>
  <w:style w:type="paragraph" w:styleId="Caption">
    <w:name w:val="caption"/>
    <w:basedOn w:val="BodyText"/>
    <w:next w:val="Normal"/>
    <w:qFormat/>
    <w:rsid w:val="00E24F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4F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4F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4F1F"/>
  </w:style>
  <w:style w:type="paragraph" w:styleId="TableofFigures">
    <w:name w:val="table of figures"/>
    <w:basedOn w:val="Normal"/>
    <w:next w:val="Normal"/>
    <w:semiHidden/>
    <w:rsid w:val="00E24F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4F1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4F1F"/>
    <w:rPr>
      <w:rFonts w:ascii="Wingdings" w:hAnsi="Wingdings"/>
    </w:rPr>
  </w:style>
  <w:style w:type="paragraph" w:customStyle="1" w:styleId="TableHeading">
    <w:name w:val="Table Heading"/>
    <w:basedOn w:val="HeadingBase"/>
    <w:rsid w:val="00E24F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4F1F"/>
    <w:rPr>
      <w:color w:val="0033CC"/>
      <w:u w:val="none"/>
    </w:rPr>
  </w:style>
  <w:style w:type="paragraph" w:customStyle="1" w:styleId="BodyTextRight">
    <w:name w:val="Body Text Right"/>
    <w:basedOn w:val="BodyText"/>
    <w:rsid w:val="00E24F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4F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4F1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4F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4F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4F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4F1F"/>
    <w:rPr>
      <w:sz w:val="32"/>
    </w:rPr>
  </w:style>
  <w:style w:type="paragraph" w:customStyle="1" w:styleId="HeadingProcedure">
    <w:name w:val="Heading Procedure"/>
    <w:basedOn w:val="HeadingBase"/>
    <w:next w:val="Normal"/>
    <w:rsid w:val="00E24F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4F1F"/>
    <w:pPr>
      <w:spacing w:before="60" w:after="60"/>
    </w:pPr>
  </w:style>
  <w:style w:type="paragraph" w:styleId="ListContinue">
    <w:name w:val="List Continue"/>
    <w:basedOn w:val="List"/>
    <w:rsid w:val="00E24F1F"/>
    <w:pPr>
      <w:ind w:firstLine="0"/>
    </w:pPr>
  </w:style>
  <w:style w:type="paragraph" w:customStyle="1" w:styleId="ListNote">
    <w:name w:val="List Note"/>
    <w:basedOn w:val="List"/>
    <w:rsid w:val="00E24F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4F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4F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4F1F"/>
    <w:rPr>
      <w:rFonts w:ascii="Courier New" w:hAnsi="Courier New"/>
    </w:rPr>
  </w:style>
  <w:style w:type="paragraph" w:customStyle="1" w:styleId="NoteBullet">
    <w:name w:val="Note Bullet"/>
    <w:basedOn w:val="Note"/>
    <w:rsid w:val="00E24F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4F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4F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4F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4F1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4F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4F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4F1F"/>
    <w:rPr>
      <w:b/>
      <w:smallCaps/>
    </w:rPr>
  </w:style>
  <w:style w:type="paragraph" w:customStyle="1" w:styleId="TableListNumber">
    <w:name w:val="Table List Number"/>
    <w:basedOn w:val="ListNumber"/>
    <w:rsid w:val="00E24F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4F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4F1F"/>
    <w:pPr>
      <w:numPr>
        <w:numId w:val="8"/>
      </w:numPr>
    </w:pPr>
  </w:style>
  <w:style w:type="paragraph" w:customStyle="1" w:styleId="ListAlpha2">
    <w:name w:val="List Alpha 2"/>
    <w:basedOn w:val="List2"/>
    <w:rsid w:val="00E24F1F"/>
    <w:pPr>
      <w:numPr>
        <w:numId w:val="7"/>
      </w:numPr>
    </w:pPr>
  </w:style>
  <w:style w:type="paragraph" w:styleId="List2">
    <w:name w:val="List 2"/>
    <w:basedOn w:val="BodyText"/>
    <w:rsid w:val="00E24F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4F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4F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4F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4F1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4F1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4F1F"/>
    <w:pPr>
      <w:numPr>
        <w:numId w:val="3"/>
      </w:numPr>
    </w:pPr>
  </w:style>
  <w:style w:type="paragraph" w:styleId="ListContinue2">
    <w:name w:val="List Continue 2"/>
    <w:basedOn w:val="List2"/>
    <w:rsid w:val="00E24F1F"/>
    <w:pPr>
      <w:ind w:firstLine="0"/>
    </w:pPr>
  </w:style>
  <w:style w:type="paragraph" w:styleId="ListContinue3">
    <w:name w:val="List Continue 3"/>
    <w:basedOn w:val="List3"/>
    <w:rsid w:val="00E24F1F"/>
    <w:pPr>
      <w:ind w:left="1021" w:firstLine="0"/>
    </w:pPr>
  </w:style>
  <w:style w:type="paragraph" w:styleId="ListContinue4">
    <w:name w:val="List Continue 4"/>
    <w:basedOn w:val="List4"/>
    <w:rsid w:val="00E24F1F"/>
    <w:pPr>
      <w:ind w:firstLine="0"/>
    </w:pPr>
  </w:style>
  <w:style w:type="paragraph" w:styleId="ListContinue5">
    <w:name w:val="List Continue 5"/>
    <w:basedOn w:val="List5"/>
    <w:rsid w:val="00E24F1F"/>
    <w:pPr>
      <w:ind w:firstLine="0"/>
    </w:pPr>
  </w:style>
  <w:style w:type="paragraph" w:styleId="ListNumber3">
    <w:name w:val="List Number 3"/>
    <w:basedOn w:val="List3"/>
    <w:rsid w:val="00E24F1F"/>
    <w:pPr>
      <w:numPr>
        <w:numId w:val="4"/>
      </w:numPr>
    </w:pPr>
  </w:style>
  <w:style w:type="paragraph" w:styleId="ListNumber4">
    <w:name w:val="List Number 4"/>
    <w:basedOn w:val="List4"/>
    <w:rsid w:val="00E24F1F"/>
    <w:pPr>
      <w:numPr>
        <w:numId w:val="5"/>
      </w:numPr>
    </w:pPr>
  </w:style>
  <w:style w:type="paragraph" w:styleId="ListNumber5">
    <w:name w:val="List Number 5"/>
    <w:basedOn w:val="List5"/>
    <w:rsid w:val="00E24F1F"/>
    <w:pPr>
      <w:numPr>
        <w:numId w:val="6"/>
      </w:numPr>
    </w:pPr>
  </w:style>
  <w:style w:type="paragraph" w:styleId="BlockText">
    <w:name w:val="Block Text"/>
    <w:basedOn w:val="Normal"/>
    <w:rsid w:val="00E24F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4F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4F1F"/>
    <w:rPr>
      <w:sz w:val="16"/>
      <w:vertAlign w:val="superscript"/>
    </w:rPr>
  </w:style>
  <w:style w:type="character" w:customStyle="1" w:styleId="Symbols">
    <w:name w:val="Symbols"/>
    <w:basedOn w:val="DefaultParagraphFont"/>
    <w:rsid w:val="00E24F1F"/>
    <w:rPr>
      <w:rFonts w:ascii="Symbol" w:hAnsi="Symbol"/>
    </w:rPr>
  </w:style>
  <w:style w:type="character" w:customStyle="1" w:styleId="MenuOptions">
    <w:name w:val="Menu Options"/>
    <w:basedOn w:val="DefaultParagraphFont"/>
    <w:rsid w:val="00E24F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4F1F"/>
    <w:rPr>
      <w:b/>
    </w:rPr>
  </w:style>
  <w:style w:type="character" w:customStyle="1" w:styleId="Underlined">
    <w:name w:val="Underlined"/>
    <w:basedOn w:val="DefaultParagraphFont"/>
    <w:rsid w:val="00E24F1F"/>
    <w:rPr>
      <w:u w:val="single"/>
    </w:rPr>
  </w:style>
  <w:style w:type="paragraph" w:customStyle="1" w:styleId="TableBodyTextRight">
    <w:name w:val="Table Body Text Right"/>
    <w:basedOn w:val="TableBodyText"/>
    <w:rsid w:val="00E24F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4F1F"/>
    <w:rPr>
      <w:sz w:val="18"/>
    </w:rPr>
  </w:style>
  <w:style w:type="paragraph" w:customStyle="1" w:styleId="BodySmallRight">
    <w:name w:val="Body Small Right"/>
    <w:basedOn w:val="BodyTextRight"/>
    <w:rsid w:val="00E24F1F"/>
    <w:rPr>
      <w:sz w:val="18"/>
      <w:szCs w:val="18"/>
    </w:rPr>
  </w:style>
  <w:style w:type="paragraph" w:customStyle="1" w:styleId="MarginEdition">
    <w:name w:val="Margin Edition"/>
    <w:basedOn w:val="MarginNote"/>
    <w:rsid w:val="00E24F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4F1F"/>
    <w:rPr>
      <w:sz w:val="2"/>
      <w:szCs w:val="2"/>
    </w:rPr>
  </w:style>
  <w:style w:type="character" w:customStyle="1" w:styleId="Small">
    <w:name w:val="Small"/>
    <w:basedOn w:val="DefaultParagraphFont"/>
    <w:rsid w:val="00E24F1F"/>
    <w:rPr>
      <w:sz w:val="16"/>
    </w:rPr>
  </w:style>
  <w:style w:type="paragraph" w:customStyle="1" w:styleId="WideTable">
    <w:name w:val="Wide Table"/>
    <w:basedOn w:val="Normal"/>
    <w:rsid w:val="00E24F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4F1F"/>
  </w:style>
  <w:style w:type="paragraph" w:styleId="Quote">
    <w:name w:val="Quote"/>
    <w:basedOn w:val="Heading1"/>
    <w:link w:val="QuoteChar"/>
    <w:qFormat/>
    <w:rsid w:val="00E24F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4F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4F1F"/>
    <w:pPr>
      <w:pageBreakBefore/>
    </w:pPr>
  </w:style>
  <w:style w:type="paragraph" w:customStyle="1" w:styleId="Border">
    <w:name w:val="Border"/>
    <w:basedOn w:val="Normal"/>
    <w:qFormat/>
    <w:rsid w:val="00E24F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4F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4F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4F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4F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4F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4F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4F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4F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4F1F"/>
    <w:rPr>
      <w:u w:val="single"/>
    </w:rPr>
  </w:style>
  <w:style w:type="character" w:customStyle="1" w:styleId="BoldandItalics">
    <w:name w:val="Bold and Italics"/>
    <w:qFormat/>
    <w:rsid w:val="00E24F1F"/>
    <w:rPr>
      <w:b/>
      <w:i/>
      <w:u w:val="none"/>
    </w:rPr>
  </w:style>
  <w:style w:type="paragraph" w:styleId="BalloonText">
    <w:name w:val="Balloon Text"/>
    <w:basedOn w:val="Normal"/>
    <w:link w:val="BalloonTextChar"/>
    <w:rsid w:val="00E24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4F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4F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4F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4F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4F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4F1F"/>
    <w:pPr>
      <w:spacing w:before="0" w:after="0"/>
    </w:pPr>
  </w:style>
  <w:style w:type="paragraph" w:customStyle="1" w:styleId="BodyTextBold">
    <w:name w:val="Body Text Bold"/>
    <w:basedOn w:val="BodyText"/>
    <w:qFormat/>
    <w:rsid w:val="00E24F1F"/>
    <w:rPr>
      <w:b/>
    </w:rPr>
  </w:style>
  <w:style w:type="character" w:styleId="Hyperlink">
    <w:name w:val="Hyperlink"/>
    <w:basedOn w:val="DefaultParagraphFont"/>
    <w:uiPriority w:val="99"/>
    <w:unhideWhenUsed/>
    <w:rsid w:val="007C54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1782</Characters>
  <Application>Microsoft Office Word</Application>
  <DocSecurity>0</DocSecurity>
  <Lines>48</Lines>
  <Paragraphs>33</Paragraphs>
  <ScaleCrop>false</ScaleCrop>
  <Company>Author-it Software Corporation Ltd.</Company>
  <LinksUpToDate>false</LinksUpToDate>
  <CharactersWithSpaces>2020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PSPFRU015 Manage fraud risk assessment and action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2022-11-21T08:50:00Z</dcterms:created>
  <dcterms:modified xsi:type="dcterms:W3CDTF">2022-11-21T08:50:00Z</dcterms:modified>
</cp:coreProperties>
</file>