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B2F" w:rsidP="00E52B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PSPFRU011 Manage fraud control awareness</w:t>
      </w:r>
      <w:r>
        <w:fldChar w:fldCharType="end"/>
      </w:r>
    </w:p>
    <w:p w:rsidR="00E52B2F" w:rsidP="00E52B2F">
      <w:pPr>
        <w:pStyle w:val="Version"/>
        <w:sectPr w:rsidSect="00F71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CA3" w:rsidP="00F71CA3">
      <w:pPr>
        <w:pStyle w:val="SuperHeading"/>
      </w:pPr>
      <w:r w:rsidRPr="00F71CA3">
        <w:t>PSPFRU011 Manage fraud control awareness</w:t>
      </w:r>
    </w:p>
    <w:p w:rsidR="00000000" w:rsidRPr="00F71CA3" w:rsidP="00F71CA3">
      <w:pPr>
        <w:pStyle w:val="Heading1"/>
      </w:pPr>
      <w:bookmarkStart w:id="1" w:name="O_815375"/>
      <w:bookmarkEnd w:id="1"/>
      <w:r w:rsidRPr="00F71C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5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TableHeading"/>
              <w:rPr>
                <w:lang w:val="en-NZ"/>
              </w:rPr>
            </w:pPr>
            <w:r w:rsidRPr="00F71CA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TableHeading"/>
              <w:rPr>
                <w:lang w:val="en-NZ"/>
              </w:rPr>
            </w:pPr>
            <w:r w:rsidRPr="00F71CA3">
              <w:t>Comments</w:t>
            </w:r>
          </w:p>
        </w:tc>
      </w:tr>
      <w:tr w:rsidTr="00E5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BodyText"/>
              <w:rPr>
                <w:lang w:val="en-NZ"/>
              </w:rPr>
            </w:pPr>
            <w:r w:rsidRPr="00F71CA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A3" w:rsidP="00F71CA3">
            <w:pPr>
              <w:pStyle w:val="BodyText"/>
            </w:pPr>
            <w:r w:rsidRPr="00F71CA3">
              <w:t xml:space="preserve">This unit was released in PSP Public Sector Training Package release 1.0 and meets the Standards for Training Packages. </w:t>
            </w:r>
          </w:p>
          <w:p w:rsidR="00000000" w:rsidRPr="00F71CA3" w:rsidP="00F71CA3">
            <w:pPr>
              <w:pStyle w:val="BodyText"/>
            </w:pPr>
          </w:p>
          <w:p w:rsidR="00000000" w:rsidRPr="00F71CA3" w:rsidP="00F71CA3">
            <w:pPr>
              <w:pStyle w:val="BodyText"/>
            </w:pPr>
            <w:r w:rsidRPr="00F71CA3">
              <w:t>This unit supersedes and is equivalent to PSPFRAU603B Manage fraud control awareness.</w:t>
            </w:r>
          </w:p>
          <w:p w:rsidR="00000000" w:rsidRPr="00F71CA3" w:rsidP="00F71CA3">
            <w:pPr>
              <w:pStyle w:val="BodyText"/>
            </w:pPr>
          </w:p>
          <w:p w:rsidR="00000000" w:rsidRPr="00F71CA3" w:rsidP="00F71CA3">
            <w:pPr>
              <w:pStyle w:val="ListBullet"/>
            </w:pPr>
            <w:r w:rsidRPr="00F71CA3">
              <w:t xml:space="preserve">Unit </w:t>
            </w:r>
            <w:r w:rsidRPr="00F71CA3">
              <w:t>code updated</w:t>
            </w:r>
          </w:p>
          <w:p w:rsidR="00000000" w:rsidRPr="00F71CA3" w:rsidP="00F71CA3">
            <w:pPr>
              <w:pStyle w:val="ListBullet"/>
            </w:pPr>
            <w:r w:rsidRPr="00F71CA3">
              <w:t>Content and formatting updated to comply with new standards</w:t>
            </w:r>
          </w:p>
          <w:p w:rsidR="00000000" w:rsidRPr="00F71CA3" w:rsidP="00F71CA3">
            <w:pPr>
              <w:pStyle w:val="ListBullet"/>
            </w:pPr>
            <w:r w:rsidRPr="00F71CA3">
              <w:t>All PC transitioned from passive to active voice</w:t>
            </w:r>
          </w:p>
        </w:tc>
      </w:tr>
    </w:tbl>
    <w:p w:rsidR="00E52B2F" w:rsidP="00F71CA3">
      <w:pPr>
        <w:pStyle w:val="BodyText"/>
      </w:pPr>
    </w:p>
    <w:p w:rsidR="00E52B2F" w:rsidP="00F71CA3">
      <w:pPr>
        <w:pStyle w:val="BodyText"/>
      </w:pPr>
    </w:p>
    <w:p w:rsidR="00000000" w:rsidRPr="00F71CA3" w:rsidP="00F71CA3">
      <w:pPr>
        <w:pStyle w:val="Heading1"/>
      </w:pPr>
      <w:bookmarkStart w:id="2" w:name="O_815378"/>
      <w:bookmarkEnd w:id="2"/>
      <w:r w:rsidRPr="00F71CA3">
        <w:t>Application</w:t>
      </w:r>
    </w:p>
    <w:p w:rsidR="00000000" w:rsidRPr="00F71CA3" w:rsidP="00E52B2F">
      <w:pPr>
        <w:pStyle w:val="BodyText"/>
      </w:pPr>
      <w:r w:rsidRPr="00F71CA3">
        <w:t>This unit describes the skills required to promote and disseminate the organisation’</w:t>
      </w:r>
      <w:r w:rsidRPr="00F71CA3">
        <w:t>s approach to fraud/corruption control internally and to external clients and the broader community. It includes disseminating the fraud/corruption control strategy, championing fraud/corruption control, and marketing fraud/corruption control both inside a</w:t>
      </w:r>
      <w:r w:rsidRPr="00F71CA3">
        <w:t>nd outside the organisation.</w:t>
      </w:r>
    </w:p>
    <w:p w:rsidR="00000000" w:rsidRPr="00F71CA3" w:rsidP="00E52B2F">
      <w:pPr>
        <w:pStyle w:val="BodyText"/>
      </w:pPr>
      <w:r w:rsidRPr="00F71CA3">
        <w:t>This unit applies to those working in management roles involved in the promotion of fraud control awareness.</w:t>
      </w:r>
    </w:p>
    <w:p w:rsidR="00000000" w:rsidRPr="00F71CA3" w:rsidP="00E52B2F">
      <w:pPr>
        <w:pStyle w:val="BodyText"/>
      </w:pPr>
      <w:r w:rsidRPr="00F71CA3">
        <w:t>The skills and knowledge described in this unit must be applied within the legislative, regulatory and policy enviro</w:t>
      </w:r>
      <w:r w:rsidRPr="00F71CA3">
        <w:t>nment in which they are carried out. Organisational policies and procedures must be consulted and adhered to.</w:t>
      </w:r>
    </w:p>
    <w:p w:rsidR="00000000" w:rsidRPr="00F71CA3" w:rsidP="00E52B2F">
      <w:pPr>
        <w:pStyle w:val="BodyText"/>
      </w:pPr>
      <w:r w:rsidRPr="00F71CA3">
        <w:t>Those undertaking this unit would work autonomously supervising others, performing complex tasks in a range of familiar contexts.</w:t>
      </w:r>
    </w:p>
    <w:p w:rsidR="00E52B2F" w:rsidP="00E52B2F">
      <w:pPr>
        <w:pStyle w:val="BodyText"/>
      </w:pPr>
      <w:r w:rsidRPr="00F71CA3">
        <w:t>No licensing, legislative or certification requirements apply to unit at the time of publication.</w:t>
      </w:r>
    </w:p>
    <w:p w:rsidR="00000000" w:rsidRPr="00F71CA3" w:rsidP="00F71CA3">
      <w:pPr>
        <w:pStyle w:val="Heading1"/>
      </w:pPr>
      <w:bookmarkStart w:id="3" w:name="O_815383"/>
      <w:bookmarkEnd w:id="3"/>
      <w:r w:rsidRPr="00F71CA3">
        <w:t>Competency Field</w:t>
      </w:r>
    </w:p>
    <w:p w:rsidR="00000000" w:rsidRPr="00F71CA3" w:rsidP="00E52B2F">
      <w:pPr>
        <w:pStyle w:val="BodyText"/>
      </w:pPr>
      <w:r w:rsidRPr="00F71CA3">
        <w:t>Fraud control</w:t>
      </w:r>
    </w:p>
    <w:p w:rsidR="00000000" w:rsidRPr="00F71CA3" w:rsidP="00F71CA3">
      <w:pPr>
        <w:pStyle w:val="Heading1"/>
      </w:pPr>
      <w:bookmarkStart w:id="4" w:name="O_815386"/>
      <w:bookmarkEnd w:id="4"/>
      <w:r w:rsidRPr="00F71C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804"/>
      </w:tblGrid>
      <w:tr w:rsidTr="00F71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TableHeading"/>
              <w:rPr>
                <w:lang w:val="en-NZ"/>
              </w:rPr>
            </w:pPr>
            <w:r w:rsidRPr="00F71CA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TableHeading"/>
              <w:rPr>
                <w:lang w:val="en-NZ"/>
              </w:rPr>
            </w:pPr>
            <w:r w:rsidRPr="00F71CA3">
              <w:t>PERFORMANCE CRITERIA</w:t>
            </w:r>
          </w:p>
        </w:tc>
      </w:tr>
      <w:tr w:rsidTr="00F71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BodyText"/>
              <w:rPr>
                <w:lang w:val="en-NZ"/>
              </w:rPr>
            </w:pPr>
            <w:r w:rsidRPr="00F71CA3">
              <w:t>Elements describe the essen</w:t>
            </w:r>
            <w:r w:rsidRPr="00F71CA3">
              <w:t>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BodyText"/>
              <w:rPr>
                <w:lang w:val="en-NZ"/>
              </w:rPr>
            </w:pPr>
            <w:r w:rsidRPr="00F71CA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71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List"/>
              <w:rPr>
                <w:lang w:val="en-NZ"/>
              </w:rPr>
            </w:pPr>
            <w:r w:rsidRPr="00F71CA3">
              <w:rPr>
                <w:rStyle w:val="SpecialBold"/>
              </w:rPr>
              <w:t>1.</w:t>
            </w:r>
            <w:r w:rsidRPr="00F71CA3">
              <w:rPr>
                <w:rStyle w:val="SpecialBold"/>
              </w:rPr>
              <w:tab/>
              <w:t>Disseminate fraud/corruption control s</w:t>
            </w:r>
            <w:r w:rsidRPr="00F71CA3">
              <w:rPr>
                <w:rStyle w:val="SpecialBold"/>
              </w:rPr>
              <w:t>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A3" w:rsidP="00F71CA3">
            <w:pPr>
              <w:pStyle w:val="List"/>
            </w:pPr>
            <w:r w:rsidRPr="00F71CA3">
              <w:t>1.1</w:t>
            </w:r>
            <w:r w:rsidRPr="00F71CA3">
              <w:tab/>
              <w:t>Raise the profile of fraud/corruption control to the highest level to indicate its key focus in the organisation.</w:t>
            </w:r>
          </w:p>
          <w:p w:rsidR="00000000" w:rsidRPr="00F71CA3" w:rsidP="00F71CA3">
            <w:pPr>
              <w:pStyle w:val="List"/>
            </w:pPr>
            <w:r w:rsidRPr="00F71CA3">
              <w:t>1.2</w:t>
            </w:r>
            <w:r w:rsidRPr="00F71CA3">
              <w:tab/>
              <w:t>Articulate standards for the organisation in a manner suited to the level and experience of staff.</w:t>
            </w:r>
          </w:p>
          <w:p w:rsidR="00000000" w:rsidRPr="00F71CA3" w:rsidP="00F71CA3">
            <w:pPr>
              <w:pStyle w:val="List"/>
            </w:pPr>
            <w:r w:rsidRPr="00F71CA3">
              <w:t>1.3</w:t>
            </w:r>
            <w:r w:rsidRPr="00F71CA3">
              <w:tab/>
            </w:r>
            <w:r w:rsidRPr="00F71CA3">
              <w:t>Articulate ways in which the fraud/corruption control strategy contributes to the achievement of organisational corporate goals.</w:t>
            </w:r>
          </w:p>
          <w:p w:rsidR="00000000" w:rsidRPr="00F71CA3" w:rsidP="00F71CA3">
            <w:pPr>
              <w:pStyle w:val="List"/>
            </w:pPr>
            <w:r w:rsidRPr="00F71CA3">
              <w:t>1.4</w:t>
            </w:r>
            <w:r w:rsidRPr="00F71CA3">
              <w:tab/>
              <w:t>Articulate roles and responsibilities of key people in the organisation regarding implementation of fraud/corruption contro</w:t>
            </w:r>
            <w:r w:rsidRPr="00F71CA3">
              <w:t>l measures.</w:t>
            </w:r>
          </w:p>
          <w:p w:rsidR="00000000" w:rsidP="00F71CA3">
            <w:pPr>
              <w:pStyle w:val="List"/>
              <w:rPr>
                <w:lang w:val="en-NZ"/>
              </w:rPr>
            </w:pPr>
            <w:r w:rsidRPr="00F71CA3">
              <w:t>1.5</w:t>
            </w:r>
            <w:r w:rsidRPr="00F71CA3">
              <w:tab/>
              <w:t>Select dissemination methods to take account of various audiences, and present information in a way that meets particular audience needs.</w:t>
            </w:r>
          </w:p>
        </w:tc>
      </w:tr>
      <w:tr w:rsidTr="00F71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List"/>
              <w:rPr>
                <w:lang w:val="en-NZ"/>
              </w:rPr>
            </w:pPr>
            <w:r w:rsidRPr="00F71CA3">
              <w:rPr>
                <w:rStyle w:val="SpecialBold"/>
              </w:rPr>
              <w:t>2.</w:t>
            </w:r>
            <w:r w:rsidRPr="00F71CA3">
              <w:rPr>
                <w:rStyle w:val="SpecialBold"/>
              </w:rPr>
              <w:tab/>
              <w:t>Champion fraud/corruption control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A3" w:rsidP="00F71CA3">
            <w:pPr>
              <w:pStyle w:val="List"/>
            </w:pPr>
            <w:r w:rsidRPr="00F71CA3">
              <w:t>2.1</w:t>
            </w:r>
            <w:r w:rsidRPr="00F71CA3">
              <w:tab/>
              <w:t>Provide leadership and motivation in highlighting the role o</w:t>
            </w:r>
            <w:r w:rsidRPr="00F71CA3">
              <w:t>f fraud/corruption control processes as integral to effective management practices.</w:t>
            </w:r>
          </w:p>
          <w:p w:rsidR="00000000" w:rsidRPr="00F71CA3" w:rsidP="00F71CA3">
            <w:pPr>
              <w:pStyle w:val="List"/>
            </w:pPr>
            <w:r w:rsidRPr="00F71CA3">
              <w:t>2.2</w:t>
            </w:r>
            <w:r w:rsidRPr="00F71CA3">
              <w:tab/>
              <w:t>Ensure the methods underpinning the championing of the fraud/corruption control process comply with the organisation’s culture and structure, and the nature of both int</w:t>
            </w:r>
            <w:r w:rsidRPr="00F71CA3">
              <w:t>ernal and external clients.</w:t>
            </w:r>
          </w:p>
          <w:p w:rsidR="00000000" w:rsidRPr="00F71CA3" w:rsidP="00F71CA3">
            <w:pPr>
              <w:pStyle w:val="List"/>
            </w:pPr>
            <w:r w:rsidRPr="00F71CA3">
              <w:t>2.3</w:t>
            </w:r>
            <w:r w:rsidRPr="00F71CA3">
              <w:tab/>
              <w:t>Set a positive tone in the organisation regarding fraud/corruption control through engendering trust and confidence in the fraud/corruption control activities.</w:t>
            </w:r>
          </w:p>
          <w:p w:rsidR="00000000" w:rsidP="00F71CA3">
            <w:pPr>
              <w:pStyle w:val="List"/>
              <w:rPr>
                <w:lang w:val="en-NZ"/>
              </w:rPr>
            </w:pPr>
            <w:r w:rsidRPr="00F71CA3">
              <w:t>2.4</w:t>
            </w:r>
            <w:r w:rsidRPr="00F71CA3">
              <w:tab/>
              <w:t>Establish guidelines for the establishment of formal and inf</w:t>
            </w:r>
            <w:r w:rsidRPr="00F71CA3">
              <w:t>ormal networks to nurture cooperative and ethical client relationships.</w:t>
            </w:r>
          </w:p>
        </w:tc>
      </w:tr>
      <w:tr w:rsidTr="00F71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List"/>
              <w:rPr>
                <w:lang w:val="en-NZ"/>
              </w:rPr>
            </w:pPr>
            <w:r w:rsidRPr="00F71CA3">
              <w:rPr>
                <w:rStyle w:val="SpecialBold"/>
              </w:rPr>
              <w:t>3.</w:t>
            </w:r>
            <w:r w:rsidRPr="00F71CA3">
              <w:rPr>
                <w:rStyle w:val="SpecialBold"/>
              </w:rPr>
              <w:tab/>
              <w:t>Market fraud/corruption control inside and outside the organisation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A3" w:rsidP="00F71CA3">
            <w:pPr>
              <w:pStyle w:val="List"/>
            </w:pPr>
            <w:r w:rsidRPr="00F71CA3">
              <w:t>3.1</w:t>
            </w:r>
            <w:r w:rsidRPr="00F71CA3">
              <w:tab/>
              <w:t xml:space="preserve">Identify and assess potential activities to promote the fraud/corruption control process and its importance </w:t>
            </w:r>
            <w:r w:rsidRPr="00F71CA3">
              <w:t>to the overall objectives of the organisation in relation to the fraud/corruption control strategy in place.</w:t>
            </w:r>
          </w:p>
          <w:p w:rsidR="00000000" w:rsidRPr="00F71CA3" w:rsidP="00F71CA3">
            <w:pPr>
              <w:pStyle w:val="List"/>
            </w:pPr>
            <w:r w:rsidRPr="00F71CA3">
              <w:t>3.2</w:t>
            </w:r>
            <w:r w:rsidRPr="00F71CA3">
              <w:tab/>
              <w:t xml:space="preserve">Coordinate implementation with management and key stakeholders. </w:t>
            </w:r>
          </w:p>
          <w:p w:rsidR="00000000" w:rsidRPr="00F71CA3" w:rsidP="00F71CA3">
            <w:pPr>
              <w:pStyle w:val="List"/>
            </w:pPr>
            <w:r w:rsidRPr="00F71CA3">
              <w:t>3.3</w:t>
            </w:r>
            <w:r w:rsidRPr="00F71CA3">
              <w:tab/>
              <w:t>Encourage shared ownership of fraud/corruption processes through ongoing c</w:t>
            </w:r>
            <w:r w:rsidRPr="00F71CA3">
              <w:t>onsultation and information sharing.</w:t>
            </w:r>
          </w:p>
          <w:p w:rsidR="00000000" w:rsidRPr="00F71CA3" w:rsidP="00F71CA3">
            <w:pPr>
              <w:pStyle w:val="List"/>
            </w:pPr>
            <w:r w:rsidRPr="00F71CA3">
              <w:t>3.4</w:t>
            </w:r>
            <w:r w:rsidRPr="00F71CA3">
              <w:tab/>
              <w:t xml:space="preserve">Organise promotion activities to raise stakeholders’ awareness of </w:t>
            </w:r>
            <w:r w:rsidRPr="00F71CA3">
              <w:t>both the ethical and financial aspects of fraud/corruption control and to facilitate endorsement of the concept and practice of fraud/corruption cont</w:t>
            </w:r>
            <w:r w:rsidRPr="00F71CA3">
              <w:t>rol.</w:t>
            </w:r>
          </w:p>
          <w:p w:rsidR="00000000" w:rsidRPr="00F71CA3" w:rsidP="00F71CA3">
            <w:pPr>
              <w:pStyle w:val="List"/>
            </w:pPr>
            <w:r w:rsidRPr="00F71CA3">
              <w:t>3.5</w:t>
            </w:r>
            <w:r w:rsidRPr="00F71CA3">
              <w:tab/>
              <w:t>Monitor trends in order to ensure currency in the organisation’s activities.</w:t>
            </w:r>
          </w:p>
        </w:tc>
      </w:tr>
    </w:tbl>
    <w:p w:rsidR="00000000" w:rsidRPr="00F71CA3" w:rsidP="00F71CA3">
      <w:pPr>
        <w:pStyle w:val="BodyText"/>
      </w:pPr>
    </w:p>
    <w:p w:rsidR="00000000" w:rsidRPr="00F71CA3" w:rsidP="00F71CA3">
      <w:pPr>
        <w:pStyle w:val="AllowPageBreak"/>
      </w:pPr>
    </w:p>
    <w:p w:rsidR="00000000" w:rsidRPr="00F71CA3" w:rsidP="00F71CA3">
      <w:pPr>
        <w:pStyle w:val="Heading1"/>
      </w:pPr>
      <w:bookmarkStart w:id="5" w:name="O_815387"/>
      <w:bookmarkEnd w:id="5"/>
      <w:r w:rsidRPr="00F71CA3">
        <w:t>Foundation Skills</w:t>
      </w:r>
    </w:p>
    <w:p w:rsidR="00000000" w:rsidRPr="00F71CA3" w:rsidP="00E52B2F">
      <w:pPr>
        <w:pStyle w:val="BodyText"/>
      </w:pPr>
      <w:r w:rsidRPr="00F71CA3">
        <w:t>Foundation skills are embedded within the elements and performance criteria of this unit.</w:t>
      </w:r>
    </w:p>
    <w:p w:rsidR="00000000" w:rsidRPr="00F71CA3" w:rsidP="00F71CA3">
      <w:pPr>
        <w:pStyle w:val="Heading1"/>
      </w:pPr>
      <w:bookmarkStart w:id="6" w:name="O_815389"/>
      <w:bookmarkEnd w:id="6"/>
      <w:r w:rsidRPr="00F71CA3">
        <w:t>Unit Mapping Information</w:t>
      </w:r>
    </w:p>
    <w:p w:rsidR="00000000" w:rsidRPr="00F71CA3" w:rsidP="00E52B2F">
      <w:pPr>
        <w:pStyle w:val="BodyText"/>
      </w:pPr>
      <w:r w:rsidRPr="00F71CA3">
        <w:t>This unit supersedes and is equivalent to PSPFRAU603B Manage fraud control awareness.</w:t>
      </w:r>
    </w:p>
    <w:p w:rsidR="00000000" w:rsidRPr="00F71CA3" w:rsidP="00F71CA3">
      <w:pPr>
        <w:pStyle w:val="Heading1"/>
      </w:pPr>
      <w:bookmarkStart w:id="7" w:name="O_815398"/>
      <w:bookmarkEnd w:id="7"/>
      <w:r w:rsidRPr="00F71CA3">
        <w:t>Links</w:t>
      </w:r>
    </w:p>
    <w:p w:rsidR="00000000" w:rsidRPr="00F71CA3" w:rsidP="00E52B2F">
      <w:pPr>
        <w:pStyle w:val="BodyText"/>
      </w:pPr>
      <w:r w:rsidRPr="00F71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72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1CA3" w:rsidP="00E52B2F">
      <w:pPr>
        <w:pStyle w:val="BodyText"/>
      </w:pPr>
      <w:r w:rsidRPr="00F71CA3">
        <w:t>C</w:t>
      </w:r>
      <w:r w:rsidRPr="00F71CA3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72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1CA3" w:rsidP="00E52B2F">
      <w:pPr>
        <w:pStyle w:val="BodyText"/>
      </w:pPr>
      <w:r w:rsidRPr="00F71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72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1CA3" w:rsidP="00E52B2F">
      <w:pPr>
        <w:pStyle w:val="BodyText"/>
      </w:pPr>
      <w:r w:rsidRPr="00F71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72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1CA3" w:rsidP="00E52B2F">
      <w:pPr>
        <w:pStyle w:val="BodyText"/>
        <w:sectPr w:rsidSect="00F71C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1CA3" w:rsidP="00F71CA3">
      <w:pPr>
        <w:pStyle w:val="SuperHeading"/>
      </w:pPr>
      <w:r w:rsidRPr="00F71CA3">
        <w:t xml:space="preserve">Assessment Requirements for </w:t>
      </w:r>
      <w:r w:rsidRPr="00F71CA3">
        <w:t>PSPFRU011 Manage fraud control awareness</w:t>
      </w:r>
    </w:p>
    <w:p w:rsidR="00000000" w:rsidRPr="00F71CA3" w:rsidP="00F71CA3">
      <w:pPr>
        <w:pStyle w:val="Heading1"/>
      </w:pPr>
      <w:bookmarkStart w:id="8" w:name="O_815391"/>
      <w:bookmarkEnd w:id="8"/>
      <w:r w:rsidRPr="00F71C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5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TableHeading"/>
              <w:rPr>
                <w:lang w:val="en-NZ"/>
              </w:rPr>
            </w:pPr>
            <w:r w:rsidRPr="00F71CA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TableHeading"/>
              <w:rPr>
                <w:lang w:val="en-NZ"/>
              </w:rPr>
            </w:pPr>
            <w:r w:rsidRPr="00F71CA3">
              <w:t>Comments</w:t>
            </w:r>
          </w:p>
        </w:tc>
      </w:tr>
      <w:tr w:rsidTr="00E5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A3">
            <w:pPr>
              <w:pStyle w:val="BodyText"/>
              <w:rPr>
                <w:lang w:val="en-NZ"/>
              </w:rPr>
            </w:pPr>
            <w:r w:rsidRPr="00F71CA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A3" w:rsidP="00F71CA3">
            <w:pPr>
              <w:pStyle w:val="BodyText"/>
            </w:pPr>
            <w:r w:rsidRPr="00F71CA3">
              <w:t xml:space="preserve">These Assessment Requirements were released in PSP Public Sector Training Package release 1.0 and meet the Standards for Training Packages. </w:t>
            </w:r>
          </w:p>
          <w:p w:rsidR="00000000" w:rsidRPr="00F71CA3" w:rsidP="00F71CA3">
            <w:pPr>
              <w:pStyle w:val="BodyText"/>
            </w:pPr>
          </w:p>
          <w:p w:rsidR="00000000" w:rsidRPr="00F71CA3" w:rsidP="00F71CA3">
            <w:pPr>
              <w:pStyle w:val="ListBullet"/>
            </w:pPr>
            <w:r w:rsidRPr="00F71CA3">
              <w:t>Assessment Requirements created drawing upon specified assessment information from superseded unit</w:t>
            </w:r>
          </w:p>
        </w:tc>
      </w:tr>
    </w:tbl>
    <w:p w:rsidR="00000000" w:rsidRPr="00F71CA3" w:rsidP="00F71CA3">
      <w:pPr>
        <w:pStyle w:val="BodyText"/>
      </w:pPr>
    </w:p>
    <w:p w:rsidR="00000000" w:rsidRPr="00F71CA3" w:rsidP="00F71CA3">
      <w:pPr>
        <w:pStyle w:val="AllowPageBreak"/>
      </w:pPr>
    </w:p>
    <w:p w:rsidR="00000000" w:rsidRPr="00F71CA3" w:rsidP="00F71CA3">
      <w:pPr>
        <w:pStyle w:val="Heading1"/>
      </w:pPr>
      <w:bookmarkStart w:id="9" w:name="O_815393"/>
      <w:bookmarkEnd w:id="9"/>
      <w:r w:rsidRPr="00F71CA3">
        <w:t>Performance Evidence</w:t>
      </w:r>
    </w:p>
    <w:p w:rsidR="00000000" w:rsidRPr="00F71CA3" w:rsidP="00E52B2F">
      <w:pPr>
        <w:pStyle w:val="BodyText"/>
      </w:pPr>
      <w:r w:rsidRPr="00F71CA3">
        <w:t>Evidence required to demonstrate competence must satisfy all of the requirements of the elements and performance crit</w:t>
      </w:r>
      <w:r w:rsidRPr="00F71CA3">
        <w:t>eria. If not otherwise specified the candidate must demonstrate evidence of performance of the following on at least one occasion.</w:t>
      </w:r>
    </w:p>
    <w:p w:rsidR="00000000" w:rsidRPr="00F71CA3" w:rsidP="00F71CA3">
      <w:pPr>
        <w:pStyle w:val="ListBullet"/>
      </w:pPr>
      <w:r w:rsidRPr="00F71CA3">
        <w:t>leading others</w:t>
      </w:r>
    </w:p>
    <w:p w:rsidR="00000000" w:rsidRPr="00F71CA3" w:rsidP="00F71CA3">
      <w:pPr>
        <w:pStyle w:val="ListBullet"/>
      </w:pPr>
      <w:r w:rsidRPr="00F71CA3">
        <w:t>synthesising and articulating broader policy issues</w:t>
      </w:r>
    </w:p>
    <w:p w:rsidR="00000000" w:rsidRPr="00F71CA3" w:rsidP="00F71CA3">
      <w:pPr>
        <w:pStyle w:val="ListBullet"/>
      </w:pPr>
      <w:r w:rsidRPr="00F71CA3">
        <w:t>using communication, negotiation and presentation styles to suit different audiences and purposes</w:t>
      </w:r>
    </w:p>
    <w:p w:rsidR="00000000" w:rsidRPr="00F71CA3" w:rsidP="00F71CA3">
      <w:pPr>
        <w:pStyle w:val="AllowPageBreak"/>
      </w:pPr>
    </w:p>
    <w:p w:rsidR="00000000" w:rsidRPr="00F71CA3" w:rsidP="00F71CA3">
      <w:pPr>
        <w:pStyle w:val="Heading1"/>
      </w:pPr>
      <w:bookmarkStart w:id="10" w:name="O_815394"/>
      <w:bookmarkEnd w:id="10"/>
      <w:r w:rsidRPr="00F71CA3">
        <w:t>Knowledge Evidence</w:t>
      </w:r>
    </w:p>
    <w:p w:rsidR="00000000" w:rsidRPr="00F71CA3" w:rsidP="00E52B2F">
      <w:pPr>
        <w:pStyle w:val="BodyText"/>
      </w:pPr>
      <w:r w:rsidRPr="00F71CA3">
        <w:t>Evidence required to demonstrate competence must satisfy all of the requirements of the elements and performance criteria.</w:t>
      </w:r>
      <w:r w:rsidRPr="00F71CA3">
        <w:t xml:space="preserve"> If not otherwise specified the depth of knowledge demonstrated must be appropriate to the job context of the candidate.</w:t>
      </w:r>
    </w:p>
    <w:p w:rsidR="00000000" w:rsidRPr="00F71CA3" w:rsidP="00F71CA3">
      <w:pPr>
        <w:pStyle w:val="ListBullet"/>
      </w:pPr>
      <w:r w:rsidRPr="00F71CA3">
        <w:t xml:space="preserve">agency corporate plan and strategic directions of the agency </w:t>
      </w:r>
    </w:p>
    <w:p w:rsidR="00000000" w:rsidRPr="00F71CA3" w:rsidP="00F71CA3">
      <w:pPr>
        <w:pStyle w:val="ListBullet"/>
      </w:pPr>
      <w:r w:rsidRPr="00F71CA3">
        <w:t>agency structure and core business activities</w:t>
      </w:r>
    </w:p>
    <w:p w:rsidR="00000000" w:rsidRPr="00F71CA3" w:rsidP="00F71CA3">
      <w:pPr>
        <w:pStyle w:val="ListBullet"/>
      </w:pPr>
      <w:r w:rsidRPr="00F71CA3">
        <w:t>agency fraud/corruption co</w:t>
      </w:r>
      <w:r w:rsidRPr="00F71CA3">
        <w:t>ntrol policy</w:t>
      </w:r>
    </w:p>
    <w:p w:rsidR="00000000" w:rsidRPr="00F71CA3" w:rsidP="00F71CA3">
      <w:pPr>
        <w:pStyle w:val="ListBullet"/>
      </w:pPr>
      <w:r w:rsidRPr="00F71CA3">
        <w:t>external expectations placed on the agency by external stakeholders</w:t>
      </w:r>
    </w:p>
    <w:p w:rsidR="00000000" w:rsidRPr="00F71CA3" w:rsidP="00F71CA3">
      <w:pPr>
        <w:pStyle w:val="ListBullet"/>
      </w:pPr>
      <w:r w:rsidRPr="00F71CA3">
        <w:t>the incorporation of constraints imposed by the culture of the organisation and operational factors into fraud/corruption control issues and practices</w:t>
      </w:r>
    </w:p>
    <w:p w:rsidR="00000000" w:rsidRPr="00F71CA3" w:rsidP="00F71CA3">
      <w:pPr>
        <w:pStyle w:val="ListBullet"/>
      </w:pPr>
      <w:r w:rsidRPr="00F71CA3">
        <w:t>organisational change pr</w:t>
      </w:r>
      <w:r w:rsidRPr="00F71CA3">
        <w:t>actices</w:t>
      </w:r>
    </w:p>
    <w:p w:rsidR="00000000" w:rsidRPr="00F71CA3" w:rsidP="00F71CA3">
      <w:pPr>
        <w:pStyle w:val="ListBullet"/>
      </w:pPr>
      <w:r w:rsidRPr="00F71CA3">
        <w:t>public sector legislation, policies and procedures including anti</w:t>
      </w:r>
      <w:r w:rsidRPr="00F71CA3">
        <w:noBreakHyphen/>
        <w:t>discrimination and diversity legislation, work health and safety, and environment in the context of fraud/corruption control</w:t>
      </w:r>
    </w:p>
    <w:p w:rsidR="00000000" w:rsidRPr="00F71CA3" w:rsidP="00F71CA3">
      <w:pPr>
        <w:pStyle w:val="AllowPageBreak"/>
      </w:pPr>
    </w:p>
    <w:p w:rsidR="00000000" w:rsidRPr="00F71CA3" w:rsidP="00F71CA3">
      <w:pPr>
        <w:pStyle w:val="Heading1"/>
      </w:pPr>
      <w:bookmarkStart w:id="11" w:name="O_815395"/>
      <w:bookmarkEnd w:id="11"/>
      <w:r w:rsidRPr="00F71CA3">
        <w:t>Assessment Conditions</w:t>
      </w:r>
    </w:p>
    <w:p w:rsidR="00000000" w:rsidRPr="00F71CA3" w:rsidP="00E52B2F">
      <w:pPr>
        <w:pStyle w:val="BodyText"/>
      </w:pPr>
      <w:r w:rsidRPr="00F71CA3">
        <w:t>This unit contains</w:t>
      </w:r>
      <w:r w:rsidRPr="00F71CA3">
        <w:t xml:space="preserve"> no specific industry-mandated assessment conditions. Guidance on suggested and recommended conditions and methods can be found in the Implementation Guide. </w:t>
      </w:r>
    </w:p>
    <w:p w:rsidR="00E52B2F" w:rsidP="00E52B2F">
      <w:pPr>
        <w:pStyle w:val="BodyText"/>
      </w:pPr>
      <w:r w:rsidRPr="00F71CA3">
        <w:t>Assessors must satisfy the NVR/AQTF mandatory competency requirements for assessors.</w:t>
      </w:r>
    </w:p>
    <w:p w:rsidR="00000000" w:rsidRPr="00F71CA3" w:rsidP="00F71CA3">
      <w:pPr>
        <w:pStyle w:val="Heading1"/>
      </w:pPr>
      <w:bookmarkStart w:id="12" w:name="O_815399"/>
      <w:bookmarkEnd w:id="12"/>
      <w:r w:rsidRPr="00F71CA3">
        <w:t>Links</w:t>
      </w:r>
    </w:p>
    <w:p w:rsidR="00000000" w:rsidRPr="00F71CA3" w:rsidP="00E52B2F">
      <w:pPr>
        <w:pStyle w:val="BodyText"/>
      </w:pPr>
      <w:r w:rsidRPr="00F71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72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1CA3" w:rsidP="00E52B2F">
      <w:pPr>
        <w:pStyle w:val="BodyText"/>
      </w:pPr>
      <w:r w:rsidRPr="00F71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72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1CA3" w:rsidP="00E52B2F">
      <w:pPr>
        <w:pStyle w:val="BodyText"/>
      </w:pPr>
      <w:r w:rsidRPr="00F71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72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1CA3" w:rsidP="00F71CA3"/>
    <w:sectPr w:rsidSect="00F71C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A3" w:rsidRPr="00E52B2F" w:rsidP="00E52B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2F" w:rsidP="00F71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B2F" w:rsidP="00F71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52B2F" w:rsidP="00F71C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A3" w:rsidP="00F71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2B2F">
      <w:t>Approved</w:t>
    </w:r>
    <w:r w:rsidR="00E52B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2B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2B2F">
      <w:rPr>
        <w:noProof/>
      </w:rPr>
      <w:t>4</w:t>
    </w:r>
    <w:r>
      <w:rPr>
        <w:noProof/>
      </w:rPr>
      <w:fldChar w:fldCharType="end"/>
    </w:r>
  </w:p>
  <w:p w:rsidR="00F71CA3" w:rsidP="00F71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2B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2B2F">
      <w:t>Public Skills Australia</w:t>
    </w:r>
    <w:r w:rsidR="00E52B2F">
      <w:fldChar w:fldCharType="end"/>
    </w:r>
  </w:p>
  <w:p w:rsidR="00F71CA3" w:rsidP="00F71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CA3" w:rsidRPr="00E52B2F" w:rsidP="00E52B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2F" w:rsidRPr="002D2AF8" w:rsidP="00F71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PSPFRU011 Manage fraud control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2B2F" w:rsidP="00F71C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A3" w:rsidRPr="002D2AF8" w:rsidP="00F71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2B2F">
      <w:t>PSPFRU011 Manage fraud control awareness</w:t>
    </w:r>
    <w:r w:rsidR="00E52B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2B2F">
      <w:rPr>
        <w:noProof/>
      </w:rPr>
      <w:t>1 March 2025</w:t>
    </w:r>
    <w:r>
      <w:fldChar w:fldCharType="end"/>
    </w:r>
  </w:p>
  <w:p w:rsidR="00F71CA3" w:rsidP="00F71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E0F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0E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CA3"/>
  </w:style>
  <w:style w:type="character" w:customStyle="1" w:styleId="Heading1Char">
    <w:name w:val="Heading 1 Char"/>
    <w:basedOn w:val="DefaultParagraphFont"/>
    <w:link w:val="Heading1"/>
    <w:rsid w:val="00F71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C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1C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1C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CA3"/>
    <w:rPr>
      <w:b/>
      <w:spacing w:val="0"/>
    </w:rPr>
  </w:style>
  <w:style w:type="paragraph" w:customStyle="1" w:styleId="SuperHeading">
    <w:name w:val="SuperHeading"/>
    <w:basedOn w:val="Normal"/>
    <w:rsid w:val="00F71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1C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1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C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1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C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CA3"/>
    <w:rPr>
      <w:i/>
    </w:rPr>
  </w:style>
  <w:style w:type="paragraph" w:styleId="Caption">
    <w:name w:val="caption"/>
    <w:basedOn w:val="BodyText"/>
    <w:next w:val="Normal"/>
    <w:qFormat/>
    <w:rsid w:val="00F71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CA3"/>
  </w:style>
  <w:style w:type="paragraph" w:styleId="TableofFigures">
    <w:name w:val="table of figures"/>
    <w:basedOn w:val="Normal"/>
    <w:next w:val="Normal"/>
    <w:semiHidden/>
    <w:rsid w:val="00F71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C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1CA3"/>
    <w:rPr>
      <w:rFonts w:ascii="Wingdings" w:hAnsi="Wingdings"/>
    </w:rPr>
  </w:style>
  <w:style w:type="character" w:customStyle="1" w:styleId="HotSpot">
    <w:name w:val="HotSpot"/>
    <w:rsid w:val="00F71CA3"/>
    <w:rPr>
      <w:color w:val="0033CC"/>
      <w:u w:val="none"/>
    </w:rPr>
  </w:style>
  <w:style w:type="paragraph" w:customStyle="1" w:styleId="BodyTextRight">
    <w:name w:val="Body Text Right"/>
    <w:basedOn w:val="BodyText"/>
    <w:rsid w:val="00F71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C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CA3"/>
    <w:rPr>
      <w:sz w:val="32"/>
    </w:rPr>
  </w:style>
  <w:style w:type="paragraph" w:customStyle="1" w:styleId="HeadingProcedure">
    <w:name w:val="Heading Procedure"/>
    <w:basedOn w:val="HeadingBase"/>
    <w:next w:val="Normal"/>
    <w:rsid w:val="00F71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CA3"/>
    <w:pPr>
      <w:spacing w:before="60" w:after="60"/>
    </w:pPr>
  </w:style>
  <w:style w:type="paragraph" w:styleId="ListContinue">
    <w:name w:val="List Continue"/>
    <w:basedOn w:val="List"/>
    <w:rsid w:val="00F71CA3"/>
    <w:pPr>
      <w:ind w:firstLine="0"/>
    </w:pPr>
  </w:style>
  <w:style w:type="paragraph" w:customStyle="1" w:styleId="ListNote">
    <w:name w:val="List Note"/>
    <w:basedOn w:val="List"/>
    <w:rsid w:val="00F71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CA3"/>
    <w:rPr>
      <w:rFonts w:ascii="Courier New" w:hAnsi="Courier New"/>
    </w:rPr>
  </w:style>
  <w:style w:type="paragraph" w:customStyle="1" w:styleId="NoteBullet">
    <w:name w:val="Note Bullet"/>
    <w:basedOn w:val="Note"/>
    <w:rsid w:val="00F71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C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CA3"/>
    <w:rPr>
      <w:b/>
      <w:smallCaps/>
    </w:rPr>
  </w:style>
  <w:style w:type="paragraph" w:customStyle="1" w:styleId="TableListNumber">
    <w:name w:val="Table List Number"/>
    <w:basedOn w:val="ListNumber"/>
    <w:rsid w:val="00F71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CA3"/>
    <w:pPr>
      <w:numPr>
        <w:numId w:val="8"/>
      </w:numPr>
    </w:pPr>
  </w:style>
  <w:style w:type="paragraph" w:customStyle="1" w:styleId="ListAlpha2">
    <w:name w:val="List Alpha 2"/>
    <w:basedOn w:val="List2"/>
    <w:rsid w:val="00F71CA3"/>
    <w:pPr>
      <w:numPr>
        <w:numId w:val="7"/>
      </w:numPr>
    </w:pPr>
  </w:style>
  <w:style w:type="paragraph" w:styleId="List2">
    <w:name w:val="List 2"/>
    <w:basedOn w:val="BodyText"/>
    <w:rsid w:val="00F71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C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C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CA3"/>
    <w:pPr>
      <w:numPr>
        <w:numId w:val="3"/>
      </w:numPr>
    </w:pPr>
  </w:style>
  <w:style w:type="paragraph" w:styleId="ListContinue2">
    <w:name w:val="List Continue 2"/>
    <w:basedOn w:val="List2"/>
    <w:rsid w:val="00F71CA3"/>
    <w:pPr>
      <w:ind w:firstLine="0"/>
    </w:pPr>
  </w:style>
  <w:style w:type="paragraph" w:styleId="ListContinue3">
    <w:name w:val="List Continue 3"/>
    <w:basedOn w:val="List3"/>
    <w:rsid w:val="00F71CA3"/>
    <w:pPr>
      <w:ind w:left="1021" w:firstLine="0"/>
    </w:pPr>
  </w:style>
  <w:style w:type="paragraph" w:styleId="ListContinue4">
    <w:name w:val="List Continue 4"/>
    <w:basedOn w:val="List4"/>
    <w:rsid w:val="00F71CA3"/>
    <w:pPr>
      <w:ind w:firstLine="0"/>
    </w:pPr>
  </w:style>
  <w:style w:type="paragraph" w:styleId="ListContinue5">
    <w:name w:val="List Continue 5"/>
    <w:basedOn w:val="List5"/>
    <w:rsid w:val="00F71CA3"/>
    <w:pPr>
      <w:ind w:firstLine="0"/>
    </w:pPr>
  </w:style>
  <w:style w:type="paragraph" w:styleId="ListNumber3">
    <w:name w:val="List Number 3"/>
    <w:basedOn w:val="List3"/>
    <w:rsid w:val="00F71CA3"/>
    <w:pPr>
      <w:numPr>
        <w:numId w:val="4"/>
      </w:numPr>
    </w:pPr>
  </w:style>
  <w:style w:type="paragraph" w:styleId="ListNumber4">
    <w:name w:val="List Number 4"/>
    <w:basedOn w:val="List4"/>
    <w:rsid w:val="00F71CA3"/>
    <w:pPr>
      <w:numPr>
        <w:numId w:val="5"/>
      </w:numPr>
    </w:pPr>
  </w:style>
  <w:style w:type="paragraph" w:styleId="ListNumber5">
    <w:name w:val="List Number 5"/>
    <w:basedOn w:val="List5"/>
    <w:rsid w:val="00F71CA3"/>
    <w:pPr>
      <w:numPr>
        <w:numId w:val="6"/>
      </w:numPr>
    </w:pPr>
  </w:style>
  <w:style w:type="paragraph" w:styleId="BlockText">
    <w:name w:val="Block Text"/>
    <w:basedOn w:val="Normal"/>
    <w:rsid w:val="00F71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CA3"/>
    <w:rPr>
      <w:sz w:val="16"/>
      <w:vertAlign w:val="superscript"/>
    </w:rPr>
  </w:style>
  <w:style w:type="character" w:customStyle="1" w:styleId="Symbols">
    <w:name w:val="Symbols"/>
    <w:basedOn w:val="DefaultParagraphFont"/>
    <w:rsid w:val="00F71CA3"/>
    <w:rPr>
      <w:rFonts w:ascii="Symbol" w:hAnsi="Symbol"/>
    </w:rPr>
  </w:style>
  <w:style w:type="character" w:customStyle="1" w:styleId="MenuOptions">
    <w:name w:val="Menu Options"/>
    <w:basedOn w:val="DefaultParagraphFont"/>
    <w:rsid w:val="00F71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CA3"/>
    <w:rPr>
      <w:b/>
    </w:rPr>
  </w:style>
  <w:style w:type="character" w:customStyle="1" w:styleId="Underlined">
    <w:name w:val="Underlined"/>
    <w:basedOn w:val="DefaultParagraphFont"/>
    <w:rsid w:val="00F71CA3"/>
    <w:rPr>
      <w:u w:val="single"/>
    </w:rPr>
  </w:style>
  <w:style w:type="paragraph" w:customStyle="1" w:styleId="TableBodyTextRight">
    <w:name w:val="Table Body Text Right"/>
    <w:basedOn w:val="TableBodyText"/>
    <w:rsid w:val="00F71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CA3"/>
    <w:rPr>
      <w:sz w:val="18"/>
    </w:rPr>
  </w:style>
  <w:style w:type="paragraph" w:customStyle="1" w:styleId="BodySmallRight">
    <w:name w:val="Body Small Right"/>
    <w:basedOn w:val="BodyTextRight"/>
    <w:rsid w:val="00F71CA3"/>
    <w:rPr>
      <w:sz w:val="18"/>
      <w:szCs w:val="18"/>
    </w:rPr>
  </w:style>
  <w:style w:type="paragraph" w:customStyle="1" w:styleId="MarginEdition">
    <w:name w:val="Margin Edition"/>
    <w:basedOn w:val="MarginNote"/>
    <w:rsid w:val="00F71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CA3"/>
    <w:rPr>
      <w:sz w:val="2"/>
      <w:szCs w:val="2"/>
    </w:rPr>
  </w:style>
  <w:style w:type="character" w:customStyle="1" w:styleId="Small">
    <w:name w:val="Small"/>
    <w:basedOn w:val="DefaultParagraphFont"/>
    <w:rsid w:val="00F71CA3"/>
    <w:rPr>
      <w:sz w:val="16"/>
    </w:rPr>
  </w:style>
  <w:style w:type="paragraph" w:customStyle="1" w:styleId="WideTable">
    <w:name w:val="Wide Table"/>
    <w:basedOn w:val="Normal"/>
    <w:rsid w:val="00F71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CA3"/>
  </w:style>
  <w:style w:type="paragraph" w:styleId="Quote">
    <w:name w:val="Quote"/>
    <w:basedOn w:val="Heading1"/>
    <w:link w:val="QuoteChar"/>
    <w:qFormat/>
    <w:rsid w:val="00F71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CA3"/>
    <w:pPr>
      <w:pageBreakBefore/>
    </w:pPr>
  </w:style>
  <w:style w:type="paragraph" w:customStyle="1" w:styleId="Border">
    <w:name w:val="Border"/>
    <w:basedOn w:val="Normal"/>
    <w:qFormat/>
    <w:rsid w:val="00F71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CA3"/>
    <w:rPr>
      <w:u w:val="single"/>
    </w:rPr>
  </w:style>
  <w:style w:type="character" w:customStyle="1" w:styleId="BoldandItalics">
    <w:name w:val="Bold and Italics"/>
    <w:qFormat/>
    <w:rsid w:val="00F71CA3"/>
    <w:rPr>
      <w:b/>
      <w:i/>
      <w:u w:val="none"/>
    </w:rPr>
  </w:style>
  <w:style w:type="paragraph" w:styleId="BalloonText">
    <w:name w:val="Balloon Text"/>
    <w:basedOn w:val="Normal"/>
    <w:link w:val="BalloonTextChar"/>
    <w:rsid w:val="00F71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CA3"/>
    <w:pPr>
      <w:spacing w:before="0" w:after="0"/>
    </w:pPr>
  </w:style>
  <w:style w:type="paragraph" w:customStyle="1" w:styleId="BodyTextBold">
    <w:name w:val="Body Text Bold"/>
    <w:basedOn w:val="BodyText"/>
    <w:qFormat/>
    <w:rsid w:val="00F71CA3"/>
    <w:rPr>
      <w:b/>
    </w:rPr>
  </w:style>
  <w:style w:type="character" w:styleId="Hyperlink">
    <w:name w:val="Hyperlink"/>
    <w:basedOn w:val="DefaultParagraphFont"/>
    <w:uiPriority w:val="99"/>
    <w:unhideWhenUsed/>
    <w:rsid w:val="00E52B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6886</Characters>
  <Application>Microsoft Office Word</Application>
  <DocSecurity>0</DocSecurity>
  <Lines>191</Lines>
  <Paragraphs>99</Paragraphs>
  <ScaleCrop>false</ScaleCrop>
  <Company>Author-it Software Corporation Ltd.</Company>
  <LinksUpToDate>false</LinksUpToDate>
  <CharactersWithSpaces>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PSPFRU011 Manage fraud control awareness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