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0D3" w:rsidP="004B2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PSPFRU010 Manage fraud risk assessment and action plan</w:t>
      </w:r>
      <w:r>
        <w:fldChar w:fldCharType="end"/>
      </w:r>
    </w:p>
    <w:p w:rsidR="004B20D3" w:rsidP="004B20D3">
      <w:pPr>
        <w:pStyle w:val="Version"/>
        <w:sectPr w:rsidSect="000245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5C9" w:rsidP="000245C9">
      <w:pPr>
        <w:pStyle w:val="SuperHeading"/>
      </w:pPr>
      <w:r w:rsidRPr="000245C9">
        <w:t>PSPFRU010 Manage fraud risk assessment and action plan</w:t>
      </w:r>
    </w:p>
    <w:p w:rsidR="00000000" w:rsidRPr="000245C9" w:rsidP="000245C9">
      <w:pPr>
        <w:pStyle w:val="Heading1"/>
      </w:pPr>
      <w:bookmarkStart w:id="1" w:name="O_815345"/>
      <w:bookmarkEnd w:id="1"/>
      <w:r w:rsidRPr="000245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B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C9">
            <w:pPr>
              <w:pStyle w:val="TableHeading"/>
              <w:rPr>
                <w:lang w:val="en-NZ"/>
              </w:rPr>
            </w:pPr>
            <w:r w:rsidRPr="000245C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C9">
            <w:pPr>
              <w:pStyle w:val="TableHeading"/>
              <w:rPr>
                <w:lang w:val="en-NZ"/>
              </w:rPr>
            </w:pPr>
            <w:r w:rsidRPr="000245C9">
              <w:t>Comments</w:t>
            </w:r>
          </w:p>
        </w:tc>
      </w:tr>
      <w:tr w:rsidTr="004B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C9">
            <w:pPr>
              <w:pStyle w:val="BodyText"/>
              <w:rPr>
                <w:lang w:val="en-NZ"/>
              </w:rPr>
            </w:pPr>
            <w:r w:rsidRPr="000245C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C9" w:rsidP="000245C9">
            <w:pPr>
              <w:pStyle w:val="BodyText"/>
            </w:pPr>
            <w:r w:rsidRPr="000245C9">
              <w:t xml:space="preserve">This unit was released in PSP Public Sector Training Package release 1.0 and meets the Standards for Training Packages. </w:t>
            </w:r>
          </w:p>
          <w:p w:rsidR="00000000" w:rsidRPr="000245C9" w:rsidP="000245C9">
            <w:pPr>
              <w:pStyle w:val="BodyText"/>
            </w:pPr>
          </w:p>
          <w:p w:rsidR="00000000" w:rsidRPr="000245C9" w:rsidP="000245C9">
            <w:pPr>
              <w:pStyle w:val="BodyText"/>
            </w:pPr>
            <w:r w:rsidRPr="000245C9">
              <w:t>This unit supersedes and is equivalent to PSPFRAU602B Manage fraud risk asses</w:t>
            </w:r>
            <w:r w:rsidRPr="000245C9">
              <w:t>sment and action plan.</w:t>
            </w:r>
          </w:p>
          <w:p w:rsidR="00000000" w:rsidRPr="000245C9" w:rsidP="000245C9">
            <w:pPr>
              <w:pStyle w:val="BodyText"/>
            </w:pPr>
          </w:p>
          <w:p w:rsidR="00000000" w:rsidRPr="000245C9" w:rsidP="000245C9">
            <w:pPr>
              <w:pStyle w:val="ListBullet"/>
            </w:pPr>
            <w:r w:rsidRPr="000245C9">
              <w:t>Unit code updated</w:t>
            </w:r>
          </w:p>
          <w:p w:rsidR="00000000" w:rsidRPr="000245C9" w:rsidP="000245C9">
            <w:pPr>
              <w:pStyle w:val="ListBullet"/>
            </w:pPr>
            <w:r w:rsidRPr="000245C9">
              <w:t>Content and formatting updated to comply with new standards</w:t>
            </w:r>
          </w:p>
          <w:p w:rsidR="00000000" w:rsidRPr="000245C9" w:rsidP="000245C9">
            <w:pPr>
              <w:pStyle w:val="ListBullet"/>
            </w:pPr>
            <w:r w:rsidRPr="000245C9">
              <w:t>All PC transitioned from passive to active voice</w:t>
            </w:r>
          </w:p>
        </w:tc>
      </w:tr>
    </w:tbl>
    <w:p w:rsidR="004B20D3" w:rsidP="000245C9">
      <w:pPr>
        <w:pStyle w:val="BodyText"/>
      </w:pPr>
    </w:p>
    <w:p w:rsidR="004B20D3" w:rsidP="000245C9">
      <w:pPr>
        <w:pStyle w:val="BodyText"/>
      </w:pPr>
    </w:p>
    <w:p w:rsidR="00000000" w:rsidRPr="000245C9" w:rsidP="000245C9">
      <w:pPr>
        <w:pStyle w:val="Heading1"/>
      </w:pPr>
      <w:bookmarkStart w:id="2" w:name="O_815346"/>
      <w:bookmarkEnd w:id="2"/>
      <w:r w:rsidRPr="000245C9">
        <w:t>Application</w:t>
      </w:r>
    </w:p>
    <w:p w:rsidR="00000000" w:rsidRPr="000245C9" w:rsidP="004B20D3">
      <w:pPr>
        <w:pStyle w:val="BodyText"/>
      </w:pPr>
      <w:r w:rsidRPr="000245C9">
        <w:t>This unit describes the skills required to manage fraud/corruption risk assessment, where personnel conducting the risk assessment may be internal staff or consultants. It includes applying organisational philosophy regarding risk, selecting a risk assessm</w:t>
      </w:r>
      <w:r w:rsidRPr="000245C9">
        <w:t>ent methodology, and establishing reporting and review mechanisms.</w:t>
      </w:r>
    </w:p>
    <w:p w:rsidR="00000000" w:rsidRPr="000245C9" w:rsidP="004B20D3">
      <w:pPr>
        <w:pStyle w:val="BodyText"/>
      </w:pPr>
      <w:r w:rsidRPr="000245C9">
        <w:t>This unit applies to those working in management roles overseeing the fraud risk assessment and action plan.</w:t>
      </w:r>
    </w:p>
    <w:p w:rsidR="00000000" w:rsidRPr="000245C9" w:rsidP="004B20D3">
      <w:pPr>
        <w:pStyle w:val="BodyText"/>
      </w:pPr>
      <w:r w:rsidRPr="000245C9">
        <w:t>The skills and knowledge described in this unit must be applied within the leg</w:t>
      </w:r>
      <w:r w:rsidRPr="000245C9">
        <w:t>islative, regulatory and policy environment in which they are carried out. Organisational policies and procedures must be consulted and adhered to.</w:t>
      </w:r>
    </w:p>
    <w:p w:rsidR="00000000" w:rsidRPr="000245C9" w:rsidP="004B20D3">
      <w:pPr>
        <w:pStyle w:val="BodyText"/>
      </w:pPr>
      <w:r w:rsidRPr="000245C9">
        <w:t>Those undertaking this unit would work autonomously supervising others, performing complex tasks in a range</w:t>
      </w:r>
      <w:r w:rsidRPr="000245C9">
        <w:t xml:space="preserve"> of familiar contexts.</w:t>
      </w:r>
    </w:p>
    <w:p w:rsidR="004B20D3" w:rsidP="004B20D3">
      <w:pPr>
        <w:pStyle w:val="BodyText"/>
      </w:pPr>
      <w:r w:rsidRPr="000245C9">
        <w:t>No licensing, legislative or certification requirements apply to unit at the time of publication.</w:t>
      </w:r>
    </w:p>
    <w:p w:rsidR="00000000" w:rsidRPr="000245C9" w:rsidP="000245C9">
      <w:pPr>
        <w:pStyle w:val="Heading1"/>
      </w:pPr>
      <w:bookmarkStart w:id="3" w:name="O_815348"/>
      <w:bookmarkEnd w:id="3"/>
      <w:r w:rsidRPr="000245C9">
        <w:t>Competency Field</w:t>
      </w:r>
    </w:p>
    <w:p w:rsidR="00000000" w:rsidRPr="000245C9" w:rsidP="004B20D3">
      <w:pPr>
        <w:pStyle w:val="BodyText"/>
      </w:pPr>
      <w:r w:rsidRPr="000245C9">
        <w:t>Fraud control</w:t>
      </w:r>
    </w:p>
    <w:p w:rsidR="00000000" w:rsidRPr="000245C9" w:rsidP="000245C9">
      <w:pPr>
        <w:pStyle w:val="Heading1"/>
      </w:pPr>
      <w:bookmarkStart w:id="4" w:name="O_815350"/>
      <w:bookmarkEnd w:id="4"/>
      <w:r w:rsidRPr="000245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024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C9">
            <w:pPr>
              <w:pStyle w:val="TableHeading"/>
              <w:rPr>
                <w:lang w:val="en-NZ"/>
              </w:rPr>
            </w:pPr>
            <w:r w:rsidRPr="000245C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C9">
            <w:pPr>
              <w:pStyle w:val="TableHeading"/>
              <w:rPr>
                <w:lang w:val="en-NZ"/>
              </w:rPr>
            </w:pPr>
            <w:r w:rsidRPr="000245C9">
              <w:t>PERFORMANCE CRITERIA</w:t>
            </w:r>
          </w:p>
        </w:tc>
      </w:tr>
      <w:tr w:rsidTr="00024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C9">
            <w:pPr>
              <w:pStyle w:val="BodyText"/>
              <w:rPr>
                <w:lang w:val="en-NZ"/>
              </w:rPr>
            </w:pPr>
            <w:r w:rsidRPr="000245C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C9">
            <w:pPr>
              <w:pStyle w:val="BodyText"/>
              <w:rPr>
                <w:lang w:val="en-NZ"/>
              </w:rPr>
            </w:pPr>
            <w:r w:rsidRPr="000245C9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024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C9">
            <w:pPr>
              <w:pStyle w:val="List"/>
              <w:rPr>
                <w:lang w:val="en-NZ"/>
              </w:rPr>
            </w:pPr>
            <w:r w:rsidRPr="000245C9">
              <w:rPr>
                <w:rStyle w:val="SpecialBold"/>
              </w:rPr>
              <w:t>1.</w:t>
            </w:r>
            <w:r w:rsidRPr="000245C9">
              <w:rPr>
                <w:rStyle w:val="SpecialBold"/>
              </w:rPr>
              <w:tab/>
              <w:t>Apply organ</w:t>
            </w:r>
            <w:r w:rsidRPr="000245C9">
              <w:rPr>
                <w:rStyle w:val="SpecialBold"/>
              </w:rPr>
              <w:t>isational philosophy regarding risk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C9" w:rsidP="000245C9">
            <w:pPr>
              <w:pStyle w:val="List"/>
            </w:pPr>
            <w:r w:rsidRPr="000245C9">
              <w:t>1.1</w:t>
            </w:r>
            <w:r w:rsidRPr="000245C9">
              <w:tab/>
              <w:t>Consult stakeholders in the management of the fraud/corruption risk assessment process.</w:t>
            </w:r>
          </w:p>
          <w:p w:rsidR="00000000" w:rsidP="000245C9">
            <w:pPr>
              <w:pStyle w:val="List"/>
              <w:rPr>
                <w:lang w:val="en-NZ"/>
              </w:rPr>
            </w:pPr>
            <w:r w:rsidRPr="000245C9">
              <w:t>1.2</w:t>
            </w:r>
            <w:r w:rsidRPr="000245C9">
              <w:tab/>
              <w:t>Acknowledge and apply cultural, ethical and economic perspectives of the organisation when making decisions regarding the de</w:t>
            </w:r>
            <w:r w:rsidRPr="000245C9">
              <w:t>velopment and implementation of the risk assessment process in the organisation.</w:t>
            </w:r>
          </w:p>
        </w:tc>
      </w:tr>
      <w:tr w:rsidTr="00024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C9">
            <w:pPr>
              <w:pStyle w:val="List"/>
              <w:rPr>
                <w:lang w:val="en-NZ"/>
              </w:rPr>
            </w:pPr>
            <w:r w:rsidRPr="000245C9">
              <w:rPr>
                <w:rStyle w:val="SpecialBold"/>
              </w:rPr>
              <w:t>2.</w:t>
            </w:r>
            <w:r w:rsidRPr="000245C9">
              <w:rPr>
                <w:rStyle w:val="SpecialBold"/>
              </w:rPr>
              <w:tab/>
              <w:t>Select risk assessment methodology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C9" w:rsidP="000245C9">
            <w:pPr>
              <w:pStyle w:val="List"/>
            </w:pPr>
            <w:r w:rsidRPr="000245C9">
              <w:t>2.1</w:t>
            </w:r>
            <w:r w:rsidRPr="000245C9">
              <w:tab/>
              <w:t>Select risk assessment methodology based on an evaluation of a range of fraud/corruption risk management techniques, and factors inc</w:t>
            </w:r>
            <w:r w:rsidRPr="000245C9">
              <w:t>luding the environment, culture and functions of the organisation.</w:t>
            </w:r>
          </w:p>
          <w:p w:rsidR="00000000" w:rsidRPr="000245C9" w:rsidP="000245C9">
            <w:pPr>
              <w:pStyle w:val="List"/>
            </w:pPr>
            <w:r w:rsidRPr="000245C9">
              <w:t>2.2</w:t>
            </w:r>
            <w:r w:rsidRPr="000245C9">
              <w:tab/>
              <w:t>Select methodology to meet the Australian standard for risk management, that is compatible with the organisation’s environment, culture, structure and core business and is able to be ap</w:t>
            </w:r>
            <w:r w:rsidRPr="000245C9">
              <w:t>plied across all the organisation’s programs and services.</w:t>
            </w:r>
          </w:p>
          <w:p w:rsidR="00000000" w:rsidP="000245C9">
            <w:pPr>
              <w:pStyle w:val="List"/>
              <w:rPr>
                <w:lang w:val="en-NZ"/>
              </w:rPr>
            </w:pPr>
            <w:r w:rsidRPr="000245C9">
              <w:t>2.3</w:t>
            </w:r>
            <w:r w:rsidRPr="000245C9">
              <w:tab/>
              <w:t>Monitor activities of personnel implementing the fraud/corruption risk assessment methodology.</w:t>
            </w:r>
          </w:p>
        </w:tc>
      </w:tr>
      <w:tr w:rsidTr="00024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C9">
            <w:pPr>
              <w:pStyle w:val="List"/>
              <w:rPr>
                <w:lang w:val="en-NZ"/>
              </w:rPr>
            </w:pPr>
            <w:r w:rsidRPr="000245C9">
              <w:rPr>
                <w:rStyle w:val="SpecialBold"/>
              </w:rPr>
              <w:t>3.</w:t>
            </w:r>
            <w:r w:rsidRPr="000245C9">
              <w:rPr>
                <w:rStyle w:val="SpecialBold"/>
              </w:rPr>
              <w:tab/>
              <w:t>Establish reporting and review mechanisms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C9" w:rsidP="000245C9">
            <w:pPr>
              <w:pStyle w:val="List"/>
            </w:pPr>
            <w:r w:rsidRPr="000245C9">
              <w:t>3.1</w:t>
            </w:r>
            <w:r w:rsidRPr="000245C9">
              <w:tab/>
              <w:t>Include the identification of appropriate action</w:t>
            </w:r>
            <w:r w:rsidRPr="000245C9">
              <w:t>s to be implemented in reporting mechanisms.</w:t>
            </w:r>
          </w:p>
          <w:p w:rsidR="00000000" w:rsidRPr="000245C9" w:rsidP="000245C9">
            <w:pPr>
              <w:pStyle w:val="List"/>
            </w:pPr>
            <w:r w:rsidRPr="000245C9">
              <w:t>3.2</w:t>
            </w:r>
            <w:r w:rsidRPr="000245C9">
              <w:tab/>
              <w:t>Establish review mechanisms that acknowledge the need for flexibility and the ongoing nature of the fraud/corruption risk assessment process.</w:t>
            </w:r>
          </w:p>
          <w:p w:rsidR="00000000" w:rsidRPr="000245C9" w:rsidP="000245C9">
            <w:pPr>
              <w:pStyle w:val="List"/>
            </w:pPr>
            <w:r w:rsidRPr="000245C9">
              <w:t>3.3</w:t>
            </w:r>
            <w:r w:rsidRPr="000245C9">
              <w:tab/>
              <w:t>Establish reporting mechanisms to allow for advice to be prov</w:t>
            </w:r>
            <w:r w:rsidRPr="000245C9">
              <w:t>ided at opportune times to facilitate a flexible response by management to any deficiencies identified.</w:t>
            </w:r>
          </w:p>
          <w:p w:rsidR="00000000" w:rsidRPr="000245C9" w:rsidP="000245C9">
            <w:pPr>
              <w:pStyle w:val="List"/>
            </w:pPr>
            <w:r w:rsidRPr="000245C9">
              <w:t>3.4</w:t>
            </w:r>
            <w:r w:rsidRPr="000245C9">
              <w:tab/>
              <w:t>Establish reporting mechanisms to meet the requirements of standards-setting organisations.</w:t>
            </w:r>
          </w:p>
        </w:tc>
      </w:tr>
    </w:tbl>
    <w:p w:rsidR="00000000" w:rsidRPr="000245C9" w:rsidP="000245C9">
      <w:pPr>
        <w:pStyle w:val="BodyText"/>
      </w:pPr>
    </w:p>
    <w:p w:rsidR="00000000" w:rsidRPr="000245C9" w:rsidP="000245C9">
      <w:pPr>
        <w:pStyle w:val="AllowPageBreak"/>
      </w:pPr>
    </w:p>
    <w:p w:rsidR="00000000" w:rsidRPr="000245C9" w:rsidP="000245C9">
      <w:pPr>
        <w:pStyle w:val="Heading1"/>
      </w:pPr>
      <w:bookmarkStart w:id="5" w:name="O_815351"/>
      <w:bookmarkEnd w:id="5"/>
      <w:r w:rsidRPr="000245C9">
        <w:t>Foundation Skills</w:t>
      </w:r>
    </w:p>
    <w:p w:rsidR="00000000" w:rsidRPr="000245C9" w:rsidP="004B20D3">
      <w:pPr>
        <w:pStyle w:val="BodyText"/>
      </w:pPr>
      <w:r w:rsidRPr="000245C9">
        <w:t>Foundation skills are embedded within the elements and performance criteria of this unit.</w:t>
      </w:r>
    </w:p>
    <w:p w:rsidR="00000000" w:rsidRPr="000245C9" w:rsidP="000245C9">
      <w:pPr>
        <w:pStyle w:val="Heading1"/>
      </w:pPr>
      <w:bookmarkStart w:id="6" w:name="O_815353"/>
      <w:bookmarkEnd w:id="6"/>
      <w:r w:rsidRPr="000245C9">
        <w:t>Unit Mapping Information</w:t>
      </w:r>
    </w:p>
    <w:p w:rsidR="00000000" w:rsidRPr="000245C9" w:rsidP="004B20D3">
      <w:pPr>
        <w:pStyle w:val="BodyText"/>
      </w:pPr>
      <w:r w:rsidRPr="000245C9">
        <w:t>This unit supersedes and is equivalent to PSPFRAU602B Manage fraud risk assessment and action plan.</w:t>
      </w:r>
    </w:p>
    <w:p w:rsidR="00000000" w:rsidRPr="000245C9" w:rsidP="000245C9">
      <w:pPr>
        <w:pStyle w:val="Heading1"/>
      </w:pPr>
      <w:bookmarkStart w:id="7" w:name="O_815360"/>
      <w:bookmarkEnd w:id="7"/>
      <w:r w:rsidRPr="000245C9">
        <w:t>Links</w:t>
      </w:r>
    </w:p>
    <w:p w:rsidR="00000000" w:rsidRPr="000245C9" w:rsidP="004B20D3">
      <w:pPr>
        <w:pStyle w:val="BodyText"/>
      </w:pPr>
      <w:r w:rsidRPr="000245C9">
        <w:t>C</w:t>
      </w:r>
      <w:r w:rsidRPr="000245C9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009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245C9" w:rsidP="004B20D3">
      <w:pPr>
        <w:pStyle w:val="BodyText"/>
      </w:pPr>
      <w:r w:rsidRPr="000245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009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245C9" w:rsidP="004B20D3">
      <w:pPr>
        <w:pStyle w:val="BodyText"/>
      </w:pPr>
      <w:r w:rsidRPr="000245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009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245C9" w:rsidP="004B20D3">
      <w:pPr>
        <w:pStyle w:val="BodyText"/>
      </w:pPr>
      <w:r w:rsidRPr="000245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009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245C9" w:rsidP="000245C9"/>
    <w:sectPr w:rsidSect="000245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C9" w:rsidRPr="004B20D3" w:rsidP="004B2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D3" w:rsidP="000245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0D3" w:rsidP="000245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20D3" w:rsidP="000245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5C9" w:rsidRPr="004B20D3" w:rsidP="004B2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D3" w:rsidRPr="002D2AF8" w:rsidP="000245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PSPFRU010 Manage fraud risk assessment and action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4B20D3" w:rsidP="000245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1ED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F4B8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5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5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5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5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5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5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5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5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5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5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5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5C9"/>
  </w:style>
  <w:style w:type="character" w:customStyle="1" w:styleId="Heading1Char">
    <w:name w:val="Heading 1 Char"/>
    <w:basedOn w:val="DefaultParagraphFont"/>
    <w:link w:val="Heading1"/>
    <w:rsid w:val="000245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5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5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45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45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5C9"/>
    <w:rPr>
      <w:b/>
      <w:spacing w:val="0"/>
    </w:rPr>
  </w:style>
  <w:style w:type="paragraph" w:customStyle="1" w:styleId="SuperHeading">
    <w:name w:val="SuperHeading"/>
    <w:basedOn w:val="Normal"/>
    <w:rsid w:val="000245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45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45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5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5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5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5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5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5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5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5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5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5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5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5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5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5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5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5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45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5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5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5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45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45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5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5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5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5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5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5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5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5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5C9"/>
    <w:rPr>
      <w:i/>
    </w:rPr>
  </w:style>
  <w:style w:type="paragraph" w:styleId="Caption">
    <w:name w:val="caption"/>
    <w:basedOn w:val="BodyText"/>
    <w:next w:val="Normal"/>
    <w:qFormat/>
    <w:rsid w:val="000245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5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5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5C9"/>
  </w:style>
  <w:style w:type="paragraph" w:styleId="TableofFigures">
    <w:name w:val="table of figures"/>
    <w:basedOn w:val="Normal"/>
    <w:next w:val="Normal"/>
    <w:semiHidden/>
    <w:rsid w:val="000245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5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45C9"/>
    <w:rPr>
      <w:rFonts w:ascii="Wingdings" w:hAnsi="Wingdings"/>
    </w:rPr>
  </w:style>
  <w:style w:type="character" w:customStyle="1" w:styleId="HotSpot">
    <w:name w:val="HotSpot"/>
    <w:rsid w:val="000245C9"/>
    <w:rPr>
      <w:color w:val="0033CC"/>
      <w:u w:val="none"/>
    </w:rPr>
  </w:style>
  <w:style w:type="paragraph" w:customStyle="1" w:styleId="BodyTextRight">
    <w:name w:val="Body Text Right"/>
    <w:basedOn w:val="BodyText"/>
    <w:rsid w:val="000245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5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5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5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5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5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5C9"/>
    <w:rPr>
      <w:sz w:val="32"/>
    </w:rPr>
  </w:style>
  <w:style w:type="paragraph" w:customStyle="1" w:styleId="HeadingProcedure">
    <w:name w:val="Heading Procedure"/>
    <w:basedOn w:val="HeadingBase"/>
    <w:next w:val="Normal"/>
    <w:rsid w:val="000245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5C9"/>
    <w:pPr>
      <w:spacing w:before="60" w:after="60"/>
    </w:pPr>
  </w:style>
  <w:style w:type="paragraph" w:styleId="ListContinue">
    <w:name w:val="List Continue"/>
    <w:basedOn w:val="List"/>
    <w:rsid w:val="000245C9"/>
    <w:pPr>
      <w:ind w:firstLine="0"/>
    </w:pPr>
  </w:style>
  <w:style w:type="paragraph" w:customStyle="1" w:styleId="ListNote">
    <w:name w:val="List Note"/>
    <w:basedOn w:val="List"/>
    <w:rsid w:val="000245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5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5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5C9"/>
    <w:rPr>
      <w:rFonts w:ascii="Courier New" w:hAnsi="Courier New"/>
    </w:rPr>
  </w:style>
  <w:style w:type="paragraph" w:customStyle="1" w:styleId="NoteBullet">
    <w:name w:val="Note Bullet"/>
    <w:basedOn w:val="Note"/>
    <w:rsid w:val="000245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5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5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5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5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45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5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5C9"/>
    <w:rPr>
      <w:b/>
      <w:smallCaps/>
    </w:rPr>
  </w:style>
  <w:style w:type="paragraph" w:customStyle="1" w:styleId="TableListNumber">
    <w:name w:val="Table List Number"/>
    <w:basedOn w:val="ListNumber"/>
    <w:rsid w:val="000245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5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5C9"/>
    <w:pPr>
      <w:numPr>
        <w:numId w:val="8"/>
      </w:numPr>
    </w:pPr>
  </w:style>
  <w:style w:type="paragraph" w:customStyle="1" w:styleId="ListAlpha2">
    <w:name w:val="List Alpha 2"/>
    <w:basedOn w:val="List2"/>
    <w:rsid w:val="000245C9"/>
    <w:pPr>
      <w:numPr>
        <w:numId w:val="7"/>
      </w:numPr>
    </w:pPr>
  </w:style>
  <w:style w:type="paragraph" w:styleId="List2">
    <w:name w:val="List 2"/>
    <w:basedOn w:val="BodyText"/>
    <w:rsid w:val="000245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5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5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5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5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5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45C9"/>
    <w:pPr>
      <w:numPr>
        <w:numId w:val="3"/>
      </w:numPr>
    </w:pPr>
  </w:style>
  <w:style w:type="paragraph" w:styleId="ListContinue2">
    <w:name w:val="List Continue 2"/>
    <w:basedOn w:val="List2"/>
    <w:rsid w:val="000245C9"/>
    <w:pPr>
      <w:ind w:firstLine="0"/>
    </w:pPr>
  </w:style>
  <w:style w:type="paragraph" w:styleId="ListContinue3">
    <w:name w:val="List Continue 3"/>
    <w:basedOn w:val="List3"/>
    <w:rsid w:val="000245C9"/>
    <w:pPr>
      <w:ind w:left="1021" w:firstLine="0"/>
    </w:pPr>
  </w:style>
  <w:style w:type="paragraph" w:styleId="ListContinue4">
    <w:name w:val="List Continue 4"/>
    <w:basedOn w:val="List4"/>
    <w:rsid w:val="000245C9"/>
    <w:pPr>
      <w:ind w:firstLine="0"/>
    </w:pPr>
  </w:style>
  <w:style w:type="paragraph" w:styleId="ListContinue5">
    <w:name w:val="List Continue 5"/>
    <w:basedOn w:val="List5"/>
    <w:rsid w:val="000245C9"/>
    <w:pPr>
      <w:ind w:firstLine="0"/>
    </w:pPr>
  </w:style>
  <w:style w:type="paragraph" w:styleId="ListNumber3">
    <w:name w:val="List Number 3"/>
    <w:basedOn w:val="List3"/>
    <w:rsid w:val="000245C9"/>
    <w:pPr>
      <w:numPr>
        <w:numId w:val="4"/>
      </w:numPr>
    </w:pPr>
  </w:style>
  <w:style w:type="paragraph" w:styleId="ListNumber4">
    <w:name w:val="List Number 4"/>
    <w:basedOn w:val="List4"/>
    <w:rsid w:val="000245C9"/>
    <w:pPr>
      <w:numPr>
        <w:numId w:val="5"/>
      </w:numPr>
    </w:pPr>
  </w:style>
  <w:style w:type="paragraph" w:styleId="ListNumber5">
    <w:name w:val="List Number 5"/>
    <w:basedOn w:val="List5"/>
    <w:rsid w:val="000245C9"/>
    <w:pPr>
      <w:numPr>
        <w:numId w:val="6"/>
      </w:numPr>
    </w:pPr>
  </w:style>
  <w:style w:type="paragraph" w:styleId="BlockText">
    <w:name w:val="Block Text"/>
    <w:basedOn w:val="Normal"/>
    <w:rsid w:val="000245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5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5C9"/>
    <w:rPr>
      <w:sz w:val="16"/>
      <w:vertAlign w:val="superscript"/>
    </w:rPr>
  </w:style>
  <w:style w:type="character" w:customStyle="1" w:styleId="Symbols">
    <w:name w:val="Symbols"/>
    <w:basedOn w:val="DefaultParagraphFont"/>
    <w:rsid w:val="000245C9"/>
    <w:rPr>
      <w:rFonts w:ascii="Symbol" w:hAnsi="Symbol"/>
    </w:rPr>
  </w:style>
  <w:style w:type="character" w:customStyle="1" w:styleId="MenuOptions">
    <w:name w:val="Menu Options"/>
    <w:basedOn w:val="DefaultParagraphFont"/>
    <w:rsid w:val="000245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5C9"/>
    <w:rPr>
      <w:b/>
    </w:rPr>
  </w:style>
  <w:style w:type="character" w:customStyle="1" w:styleId="Underlined">
    <w:name w:val="Underlined"/>
    <w:basedOn w:val="DefaultParagraphFont"/>
    <w:rsid w:val="000245C9"/>
    <w:rPr>
      <w:u w:val="single"/>
    </w:rPr>
  </w:style>
  <w:style w:type="paragraph" w:customStyle="1" w:styleId="TableBodyTextRight">
    <w:name w:val="Table Body Text Right"/>
    <w:basedOn w:val="TableBodyText"/>
    <w:rsid w:val="000245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5C9"/>
    <w:rPr>
      <w:sz w:val="18"/>
    </w:rPr>
  </w:style>
  <w:style w:type="paragraph" w:customStyle="1" w:styleId="BodySmallRight">
    <w:name w:val="Body Small Right"/>
    <w:basedOn w:val="BodyTextRight"/>
    <w:rsid w:val="000245C9"/>
    <w:rPr>
      <w:sz w:val="18"/>
      <w:szCs w:val="18"/>
    </w:rPr>
  </w:style>
  <w:style w:type="paragraph" w:customStyle="1" w:styleId="MarginEdition">
    <w:name w:val="Margin Edition"/>
    <w:basedOn w:val="MarginNote"/>
    <w:rsid w:val="000245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5C9"/>
    <w:rPr>
      <w:sz w:val="2"/>
      <w:szCs w:val="2"/>
    </w:rPr>
  </w:style>
  <w:style w:type="character" w:customStyle="1" w:styleId="Small">
    <w:name w:val="Small"/>
    <w:basedOn w:val="DefaultParagraphFont"/>
    <w:rsid w:val="000245C9"/>
    <w:rPr>
      <w:sz w:val="16"/>
    </w:rPr>
  </w:style>
  <w:style w:type="paragraph" w:customStyle="1" w:styleId="WideTable">
    <w:name w:val="Wide Table"/>
    <w:basedOn w:val="Normal"/>
    <w:rsid w:val="000245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5C9"/>
  </w:style>
  <w:style w:type="paragraph" w:styleId="Quote">
    <w:name w:val="Quote"/>
    <w:basedOn w:val="Heading1"/>
    <w:link w:val="QuoteChar"/>
    <w:qFormat/>
    <w:rsid w:val="000245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5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5C9"/>
    <w:pPr>
      <w:pageBreakBefore/>
    </w:pPr>
  </w:style>
  <w:style w:type="paragraph" w:customStyle="1" w:styleId="Border">
    <w:name w:val="Border"/>
    <w:basedOn w:val="Normal"/>
    <w:qFormat/>
    <w:rsid w:val="000245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5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5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5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5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5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5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5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5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5C9"/>
    <w:rPr>
      <w:u w:val="single"/>
    </w:rPr>
  </w:style>
  <w:style w:type="character" w:customStyle="1" w:styleId="BoldandItalics">
    <w:name w:val="Bold and Italics"/>
    <w:qFormat/>
    <w:rsid w:val="000245C9"/>
    <w:rPr>
      <w:b/>
      <w:i/>
      <w:u w:val="none"/>
    </w:rPr>
  </w:style>
  <w:style w:type="paragraph" w:styleId="BalloonText">
    <w:name w:val="Balloon Text"/>
    <w:basedOn w:val="Normal"/>
    <w:link w:val="BalloonTextChar"/>
    <w:rsid w:val="000245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5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5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5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5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5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5C9"/>
    <w:pPr>
      <w:spacing w:before="0" w:after="0"/>
    </w:pPr>
  </w:style>
  <w:style w:type="paragraph" w:customStyle="1" w:styleId="BodyTextBold">
    <w:name w:val="Body Text Bold"/>
    <w:basedOn w:val="BodyText"/>
    <w:qFormat/>
    <w:rsid w:val="000245C9"/>
    <w:rPr>
      <w:b/>
    </w:rPr>
  </w:style>
  <w:style w:type="character" w:styleId="Hyperlink">
    <w:name w:val="Hyperlink"/>
    <w:basedOn w:val="DefaultParagraphFont"/>
    <w:uiPriority w:val="99"/>
    <w:unhideWhenUsed/>
    <w:rsid w:val="004B2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3962</Characters>
  <Application>Microsoft Office Word</Application>
  <DocSecurity>0</DocSecurity>
  <Lines>120</Lines>
  <Paragraphs>59</Paragraphs>
  <ScaleCrop>false</ScaleCrop>
  <Company>Author-it Software Corporation Ltd.</Company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PSPFRU010 Manage fraud risk assessment and action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2022-04-03T13:12:00Z</dcterms:created>
  <dcterms:modified xsi:type="dcterms:W3CDTF">2022-04-03T13:12:00Z</dcterms:modified>
</cp:coreProperties>
</file>