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2CB" w:rsidP="006D32CB">
      <w:pPr>
        <w:pStyle w:val="Title"/>
      </w:pPr>
      <w:r>
        <w:fldChar w:fldCharType="begin"/>
      </w:r>
      <w:r>
        <w:instrText xml:space="preserve"> TITLE   \* MERGEFORMAT </w:instrText>
      </w:r>
      <w:r>
        <w:fldChar w:fldCharType="separate"/>
      </w:r>
      <w:r>
        <w:t>PSPFRU010 Manage fraud risk assessment and action plan</w:t>
      </w:r>
      <w:r>
        <w:fldChar w:fldCharType="end"/>
      </w:r>
    </w:p>
    <w:p w:rsidR="006D32CB" w:rsidP="006D32CB">
      <w:pPr>
        <w:pStyle w:val="Version"/>
        <w:sectPr w:rsidSect="009C3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BFC" w:rsidP="009C3BFC">
      <w:pPr>
        <w:pStyle w:val="SuperHeading"/>
      </w:pPr>
      <w:r w:rsidRPr="009C3BFC">
        <w:t>PSPFRU010 Manage fraud risk assessment and action plan</w:t>
      </w:r>
    </w:p>
    <w:p w:rsidR="00000000" w:rsidRPr="009C3BFC" w:rsidP="009C3BFC">
      <w:pPr>
        <w:pStyle w:val="Heading1"/>
      </w:pPr>
      <w:bookmarkStart w:id="1" w:name="O_815345"/>
      <w:bookmarkEnd w:id="1"/>
      <w:r w:rsidRPr="009C3BFC">
        <w:t>Modification History</w:t>
      </w:r>
    </w:p>
    <w:tbl>
      <w:tblPr>
        <w:tblW w:w="0" w:type="auto"/>
        <w:tblLayout w:type="fixed"/>
        <w:tblCellMar>
          <w:left w:w="62" w:type="dxa"/>
          <w:right w:w="62" w:type="dxa"/>
        </w:tblCellMar>
        <w:tblLook w:val="0000"/>
      </w:tblPr>
      <w:tblGrid>
        <w:gridCol w:w="1134"/>
        <w:gridCol w:w="7937"/>
      </w:tblGrid>
      <w:tr w:rsidTr="006D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TableHeading"/>
              <w:rPr>
                <w:lang w:val="en-NZ"/>
              </w:rPr>
            </w:pPr>
            <w:r w:rsidRPr="009C3BF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TableHeading"/>
              <w:rPr>
                <w:lang w:val="en-NZ"/>
              </w:rPr>
            </w:pPr>
            <w:r w:rsidRPr="009C3BFC">
              <w:t>Comments</w:t>
            </w:r>
          </w:p>
        </w:tc>
      </w:tr>
      <w:tr w:rsidTr="006D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BodyText"/>
              <w:rPr>
                <w:lang w:val="en-NZ"/>
              </w:rPr>
            </w:pPr>
            <w:r w:rsidRPr="009C3BF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BFC" w:rsidP="009C3BFC">
            <w:pPr>
              <w:pStyle w:val="BodyText"/>
            </w:pPr>
            <w:r w:rsidRPr="009C3BFC">
              <w:t xml:space="preserve">This unit was released in PSP Public Sector Training Package release 1.0 and meets the Standards for Training Packages. </w:t>
            </w:r>
          </w:p>
          <w:p w:rsidR="00000000" w:rsidRPr="009C3BFC" w:rsidP="009C3BFC">
            <w:pPr>
              <w:pStyle w:val="BodyText"/>
            </w:pPr>
          </w:p>
          <w:p w:rsidR="00000000" w:rsidRPr="009C3BFC" w:rsidP="009C3BFC">
            <w:pPr>
              <w:pStyle w:val="BodyText"/>
            </w:pPr>
            <w:r w:rsidRPr="009C3BFC">
              <w:t>This unit supersedes and is equivalent to PSPFRAU602B Manage fraud risk asses</w:t>
            </w:r>
            <w:r w:rsidRPr="009C3BFC">
              <w:t>sment and action plan.</w:t>
            </w:r>
          </w:p>
          <w:p w:rsidR="00000000" w:rsidRPr="009C3BFC" w:rsidP="009C3BFC">
            <w:pPr>
              <w:pStyle w:val="BodyText"/>
            </w:pPr>
          </w:p>
          <w:p w:rsidR="00000000" w:rsidRPr="009C3BFC" w:rsidP="009C3BFC">
            <w:pPr>
              <w:pStyle w:val="ListBullet"/>
            </w:pPr>
            <w:r w:rsidRPr="009C3BFC">
              <w:t>Unit code updated</w:t>
            </w:r>
          </w:p>
          <w:p w:rsidR="00000000" w:rsidRPr="009C3BFC" w:rsidP="009C3BFC">
            <w:pPr>
              <w:pStyle w:val="ListBullet"/>
            </w:pPr>
            <w:r w:rsidRPr="009C3BFC">
              <w:t>Content and formatting updated to comply with new standards</w:t>
            </w:r>
          </w:p>
          <w:p w:rsidR="00000000" w:rsidRPr="009C3BFC" w:rsidP="009C3BFC">
            <w:pPr>
              <w:pStyle w:val="ListBullet"/>
            </w:pPr>
            <w:r w:rsidRPr="009C3BFC">
              <w:t>All PC transitioned from passive to active voice</w:t>
            </w:r>
          </w:p>
        </w:tc>
      </w:tr>
    </w:tbl>
    <w:p w:rsidR="006D32CB" w:rsidP="009C3BFC">
      <w:pPr>
        <w:pStyle w:val="BodyText"/>
      </w:pPr>
    </w:p>
    <w:p w:rsidR="006D32CB" w:rsidP="009C3BFC">
      <w:pPr>
        <w:pStyle w:val="BodyText"/>
      </w:pPr>
    </w:p>
    <w:p w:rsidR="00000000" w:rsidRPr="009C3BFC" w:rsidP="009C3BFC">
      <w:pPr>
        <w:pStyle w:val="Heading1"/>
      </w:pPr>
      <w:bookmarkStart w:id="2" w:name="O_815346"/>
      <w:bookmarkEnd w:id="2"/>
      <w:r w:rsidRPr="009C3BFC">
        <w:t>Application</w:t>
      </w:r>
    </w:p>
    <w:p w:rsidR="00000000" w:rsidRPr="009C3BFC" w:rsidP="006D32CB">
      <w:pPr>
        <w:pStyle w:val="BodyText"/>
      </w:pPr>
      <w:r w:rsidRPr="009C3BFC">
        <w:t>This unit describes the skills required to manage fraud/corruption risk assessment, where personnel conducting the risk assessment may be internal staff or consultants. It includes applying organisational philosophy regarding risk, selecting a risk assessm</w:t>
      </w:r>
      <w:r w:rsidRPr="009C3BFC">
        <w:t>ent methodology, and establishing reporting and review mechanisms.</w:t>
      </w:r>
    </w:p>
    <w:p w:rsidR="00000000" w:rsidRPr="009C3BFC" w:rsidP="006D32CB">
      <w:pPr>
        <w:pStyle w:val="BodyText"/>
      </w:pPr>
      <w:r w:rsidRPr="009C3BFC">
        <w:t>This unit applies to those working in management roles overseeing the fraud risk assessment and action plan.</w:t>
      </w:r>
    </w:p>
    <w:p w:rsidR="00000000" w:rsidRPr="009C3BFC" w:rsidP="006D32CB">
      <w:pPr>
        <w:pStyle w:val="BodyText"/>
      </w:pPr>
      <w:r w:rsidRPr="009C3BFC">
        <w:t>The skills and knowledge described in this unit must be applied within the leg</w:t>
      </w:r>
      <w:r w:rsidRPr="009C3BFC">
        <w:t>islative, regulatory and policy environment in which they are carried out. Organisational policies and procedures must be consulted and adhered to.</w:t>
      </w:r>
    </w:p>
    <w:p w:rsidR="00000000" w:rsidRPr="009C3BFC" w:rsidP="006D32CB">
      <w:pPr>
        <w:pStyle w:val="BodyText"/>
      </w:pPr>
      <w:r w:rsidRPr="009C3BFC">
        <w:t>Those undertaking this unit would work autonomously supervising others, performing complex tasks in a range</w:t>
      </w:r>
      <w:r w:rsidRPr="009C3BFC">
        <w:t xml:space="preserve"> of familiar contexts.</w:t>
      </w:r>
    </w:p>
    <w:p w:rsidR="006D32CB" w:rsidP="006D32CB">
      <w:pPr>
        <w:pStyle w:val="BodyText"/>
      </w:pPr>
      <w:r w:rsidRPr="009C3BFC">
        <w:t>No licensing, legislative or certification requirements apply to unit at the time of publication.</w:t>
      </w:r>
    </w:p>
    <w:p w:rsidR="00000000" w:rsidRPr="009C3BFC" w:rsidP="009C3BFC">
      <w:pPr>
        <w:pStyle w:val="Heading1"/>
      </w:pPr>
      <w:bookmarkStart w:id="3" w:name="O_815348"/>
      <w:bookmarkEnd w:id="3"/>
      <w:r w:rsidRPr="009C3BFC">
        <w:t>Competency Field</w:t>
      </w:r>
    </w:p>
    <w:p w:rsidR="00000000" w:rsidRPr="009C3BFC" w:rsidP="006D32CB">
      <w:pPr>
        <w:pStyle w:val="BodyText"/>
      </w:pPr>
      <w:r w:rsidRPr="009C3BFC">
        <w:t>Fraud control</w:t>
      </w:r>
    </w:p>
    <w:p w:rsidR="00000000" w:rsidRPr="009C3BFC" w:rsidP="009C3BFC">
      <w:pPr>
        <w:pStyle w:val="Heading1"/>
      </w:pPr>
      <w:bookmarkStart w:id="4" w:name="O_815350"/>
      <w:bookmarkEnd w:id="4"/>
      <w:r w:rsidRPr="009C3BFC">
        <w:t>Elements and Performance Criteria</w:t>
      </w:r>
    </w:p>
    <w:tbl>
      <w:tblPr>
        <w:tblW w:w="0" w:type="auto"/>
        <w:tblLayout w:type="fixed"/>
        <w:tblCellMar>
          <w:left w:w="62" w:type="dxa"/>
          <w:right w:w="62" w:type="dxa"/>
        </w:tblCellMar>
        <w:tblLook w:val="0000"/>
      </w:tblPr>
      <w:tblGrid>
        <w:gridCol w:w="2203"/>
        <w:gridCol w:w="6804"/>
      </w:tblGrid>
      <w:tr w:rsidTr="009C3BF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TableHeading"/>
              <w:rPr>
                <w:lang w:val="en-NZ"/>
              </w:rPr>
            </w:pPr>
            <w:r w:rsidRPr="009C3BF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TableHeading"/>
              <w:rPr>
                <w:lang w:val="en-NZ"/>
              </w:rPr>
            </w:pPr>
            <w:r w:rsidRPr="009C3BFC">
              <w:t>PERFORMANCE CRITERIA</w:t>
            </w:r>
          </w:p>
        </w:tc>
      </w:tr>
      <w:tr w:rsidTr="009C3BF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BodyText"/>
              <w:rPr>
                <w:lang w:val="en-NZ"/>
              </w:rPr>
            </w:pPr>
            <w:r w:rsidRPr="009C3BF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BodyText"/>
              <w:rPr>
                <w:lang w:val="en-NZ"/>
              </w:rPr>
            </w:pPr>
            <w:r w:rsidRPr="009C3BFC">
              <w:t>Performance criteria describe the performance needed to demonstrate achievement of the element. Where bold italicised text is used, further information is detailed in the range of conditions section.</w:t>
            </w:r>
          </w:p>
        </w:tc>
      </w:tr>
      <w:tr w:rsidTr="009C3BF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List"/>
              <w:rPr>
                <w:lang w:val="en-NZ"/>
              </w:rPr>
            </w:pPr>
            <w:r w:rsidRPr="009C3BFC">
              <w:rPr>
                <w:rStyle w:val="SpecialBold"/>
              </w:rPr>
              <w:t>1.</w:t>
            </w:r>
            <w:r w:rsidRPr="009C3BFC">
              <w:rPr>
                <w:rStyle w:val="SpecialBold"/>
              </w:rPr>
              <w:tab/>
              <w:t>Apply organ</w:t>
            </w:r>
            <w:r w:rsidRPr="009C3BFC">
              <w:rPr>
                <w:rStyle w:val="SpecialBold"/>
              </w:rPr>
              <w:t>isational philosophy regarding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BFC" w:rsidP="009C3BFC">
            <w:pPr>
              <w:pStyle w:val="List"/>
            </w:pPr>
            <w:r w:rsidRPr="009C3BFC">
              <w:t>1.1</w:t>
            </w:r>
            <w:r w:rsidRPr="009C3BFC">
              <w:tab/>
              <w:t>Consult stakeholders in the management of the fraud/corruption risk assessment process.</w:t>
            </w:r>
          </w:p>
          <w:p w:rsidR="00000000" w:rsidP="009C3BFC">
            <w:pPr>
              <w:pStyle w:val="List"/>
              <w:rPr>
                <w:lang w:val="en-NZ"/>
              </w:rPr>
            </w:pPr>
            <w:r w:rsidRPr="009C3BFC">
              <w:t>1.2</w:t>
            </w:r>
            <w:r w:rsidRPr="009C3BFC">
              <w:tab/>
              <w:t>Acknowledge and apply cultural, ethical and economic perspectives of the organisation when making decisions regarding the de</w:t>
            </w:r>
            <w:r w:rsidRPr="009C3BFC">
              <w:t>velopment and implementation of the risk assessment process in the organisation.</w:t>
            </w:r>
          </w:p>
        </w:tc>
      </w:tr>
      <w:tr w:rsidTr="009C3BF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List"/>
              <w:rPr>
                <w:lang w:val="en-NZ"/>
              </w:rPr>
            </w:pPr>
            <w:r w:rsidRPr="009C3BFC">
              <w:rPr>
                <w:rStyle w:val="SpecialBold"/>
              </w:rPr>
              <w:t>2.</w:t>
            </w:r>
            <w:r w:rsidRPr="009C3BFC">
              <w:rPr>
                <w:rStyle w:val="SpecialBold"/>
              </w:rPr>
              <w:tab/>
              <w:t>Select risk assessment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BFC" w:rsidP="009C3BFC">
            <w:pPr>
              <w:pStyle w:val="List"/>
            </w:pPr>
            <w:r w:rsidRPr="009C3BFC">
              <w:t>2.1</w:t>
            </w:r>
            <w:r w:rsidRPr="009C3BFC">
              <w:tab/>
              <w:t xml:space="preserve">Select risk assessment methodology based on an evaluation of a range of fraud/corruption risk management techniques, and factors </w:t>
            </w:r>
            <w:r w:rsidRPr="009C3BFC">
              <w:t>including the environment, culture and functions of the organisation.</w:t>
            </w:r>
          </w:p>
          <w:p w:rsidR="00000000" w:rsidRPr="009C3BFC" w:rsidP="009C3BFC">
            <w:pPr>
              <w:pStyle w:val="List"/>
            </w:pPr>
            <w:r w:rsidRPr="009C3BFC">
              <w:t>2.2</w:t>
            </w:r>
            <w:r w:rsidRPr="009C3BFC">
              <w:tab/>
              <w:t>Select methodology to meet the Australian standard for risk management, that is compatible with the organisation’s environment, culture, structure and core business and is able to be</w:t>
            </w:r>
            <w:r w:rsidRPr="009C3BFC">
              <w:t xml:space="preserve"> applied across all the organisation’s programs and services.</w:t>
            </w:r>
          </w:p>
          <w:p w:rsidR="00000000" w:rsidP="009C3BFC">
            <w:pPr>
              <w:pStyle w:val="List"/>
              <w:rPr>
                <w:lang w:val="en-NZ"/>
              </w:rPr>
            </w:pPr>
            <w:r w:rsidRPr="009C3BFC">
              <w:t>2.3</w:t>
            </w:r>
            <w:r w:rsidRPr="009C3BFC">
              <w:tab/>
              <w:t>Monitor activities of personnel implementing the fraud/corruption risk assessment methodology.</w:t>
            </w:r>
          </w:p>
        </w:tc>
      </w:tr>
      <w:tr w:rsidTr="009C3BF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List"/>
              <w:rPr>
                <w:lang w:val="en-NZ"/>
              </w:rPr>
            </w:pPr>
            <w:r w:rsidRPr="009C3BFC">
              <w:rPr>
                <w:rStyle w:val="SpecialBold"/>
              </w:rPr>
              <w:t>3.</w:t>
            </w:r>
            <w:r w:rsidRPr="009C3BFC">
              <w:rPr>
                <w:rStyle w:val="SpecialBold"/>
              </w:rPr>
              <w:tab/>
              <w:t>Establish reporting and review mechanisms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BFC" w:rsidP="009C3BFC">
            <w:pPr>
              <w:pStyle w:val="List"/>
            </w:pPr>
            <w:r w:rsidRPr="009C3BFC">
              <w:t>3.1</w:t>
            </w:r>
            <w:r w:rsidRPr="009C3BFC">
              <w:tab/>
              <w:t>Include the identification of appropriate act</w:t>
            </w:r>
            <w:r w:rsidRPr="009C3BFC">
              <w:t>ions to be implemented in reporting mechanisms.</w:t>
            </w:r>
          </w:p>
          <w:p w:rsidR="00000000" w:rsidRPr="009C3BFC" w:rsidP="009C3BFC">
            <w:pPr>
              <w:pStyle w:val="List"/>
            </w:pPr>
            <w:r w:rsidRPr="009C3BFC">
              <w:t>3.2</w:t>
            </w:r>
            <w:r w:rsidRPr="009C3BFC">
              <w:tab/>
              <w:t>Establish review mechanisms that acknowledge the need for flexibility and the ongoing nature of the fraud/corruption risk assessment process.</w:t>
            </w:r>
          </w:p>
          <w:p w:rsidR="00000000" w:rsidRPr="009C3BFC" w:rsidP="009C3BFC">
            <w:pPr>
              <w:pStyle w:val="List"/>
            </w:pPr>
            <w:r w:rsidRPr="009C3BFC">
              <w:t>3.3</w:t>
            </w:r>
            <w:r w:rsidRPr="009C3BFC">
              <w:tab/>
              <w:t>Establish reporting mechanisms to allow for advice to be p</w:t>
            </w:r>
            <w:r w:rsidRPr="009C3BFC">
              <w:t>rovided at opportune times to facilitate a flexible response by management to any deficiencies identified.</w:t>
            </w:r>
          </w:p>
          <w:p w:rsidR="00000000" w:rsidRPr="009C3BFC" w:rsidP="009C3BFC">
            <w:pPr>
              <w:pStyle w:val="List"/>
            </w:pPr>
            <w:r w:rsidRPr="009C3BFC">
              <w:t>3.4</w:t>
            </w:r>
            <w:r w:rsidRPr="009C3BFC">
              <w:tab/>
              <w:t>Establish reporting mechanisms to meet the requirements of standards-setting organisations.</w:t>
            </w:r>
          </w:p>
        </w:tc>
      </w:tr>
    </w:tbl>
    <w:p w:rsidR="00000000" w:rsidRPr="009C3BFC" w:rsidP="009C3BFC">
      <w:pPr>
        <w:pStyle w:val="BodyText"/>
      </w:pPr>
    </w:p>
    <w:p w:rsidR="00000000" w:rsidRPr="009C3BFC" w:rsidP="009C3BFC">
      <w:pPr>
        <w:pStyle w:val="AllowPageBreak"/>
      </w:pPr>
    </w:p>
    <w:p w:rsidR="00000000" w:rsidRPr="009C3BFC" w:rsidP="009C3BFC">
      <w:pPr>
        <w:pStyle w:val="Heading1"/>
      </w:pPr>
      <w:bookmarkStart w:id="5" w:name="O_815351"/>
      <w:bookmarkEnd w:id="5"/>
      <w:r w:rsidRPr="009C3BFC">
        <w:t>Foundation Skills</w:t>
      </w:r>
    </w:p>
    <w:p w:rsidR="00000000" w:rsidRPr="009C3BFC" w:rsidP="006D32CB">
      <w:pPr>
        <w:pStyle w:val="BodyText"/>
      </w:pPr>
      <w:r w:rsidRPr="009C3BFC">
        <w:t>Foundation skill</w:t>
      </w:r>
      <w:r w:rsidRPr="009C3BFC">
        <w:t>s are embedded within the elements and performance criteria of this unit.</w:t>
      </w:r>
    </w:p>
    <w:p w:rsidR="00000000" w:rsidRPr="009C3BFC" w:rsidP="009C3BFC">
      <w:pPr>
        <w:pStyle w:val="Heading1"/>
      </w:pPr>
      <w:bookmarkStart w:id="6" w:name="O_815353"/>
      <w:bookmarkEnd w:id="6"/>
      <w:r w:rsidRPr="009C3BFC">
        <w:t>Unit Mapping Information</w:t>
      </w:r>
    </w:p>
    <w:p w:rsidR="00000000" w:rsidRPr="009C3BFC" w:rsidP="006D32CB">
      <w:pPr>
        <w:pStyle w:val="BodyText"/>
      </w:pPr>
      <w:r w:rsidRPr="009C3BFC">
        <w:t>This unit supersedes and is equivalent to PSPFRAU602B Manage fraud risk assessment and action plan.</w:t>
      </w:r>
    </w:p>
    <w:p w:rsidR="00000000" w:rsidRPr="009C3BFC" w:rsidP="009C3BFC">
      <w:pPr>
        <w:pStyle w:val="Heading1"/>
      </w:pPr>
      <w:bookmarkStart w:id="7" w:name="O_815360"/>
      <w:bookmarkEnd w:id="7"/>
      <w:r w:rsidRPr="009C3BFC">
        <w:t>Links</w:t>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6D32CB">
      <w:pPr>
        <w:pStyle w:val="BodyText"/>
        <w:sectPr w:rsidSect="009C3BFC">
          <w:headerReference w:type="default" r:id="rId10"/>
          <w:footerReference w:type="default" r:id="rId11"/>
          <w:pgSz w:w="11908" w:h="16833"/>
          <w:pgMar w:top="1702" w:right="1418" w:bottom="1702" w:left="1418" w:header="992" w:footer="992" w:gutter="0"/>
          <w:cols w:space="720"/>
          <w:noEndnote/>
          <w:docGrid w:linePitch="299"/>
        </w:sectPr>
      </w:pPr>
    </w:p>
    <w:p w:rsidR="00000000" w:rsidRPr="009C3BFC" w:rsidP="009C3BFC">
      <w:pPr>
        <w:pStyle w:val="SuperHeading"/>
      </w:pPr>
      <w:r w:rsidRPr="009C3BFC">
        <w:t>Assessment Requirements for PSPFRU010 Manage fraud risk assessment and action plan</w:t>
      </w:r>
    </w:p>
    <w:p w:rsidR="00000000" w:rsidRPr="009C3BFC" w:rsidP="009C3BFC">
      <w:pPr>
        <w:pStyle w:val="Heading1"/>
      </w:pPr>
      <w:bookmarkStart w:id="8" w:name="O_815355"/>
      <w:bookmarkEnd w:id="8"/>
      <w:r w:rsidRPr="009C3BFC">
        <w:t>Modification History</w:t>
      </w:r>
    </w:p>
    <w:tbl>
      <w:tblPr>
        <w:tblW w:w="0" w:type="auto"/>
        <w:tblLayout w:type="fixed"/>
        <w:tblCellMar>
          <w:left w:w="62" w:type="dxa"/>
          <w:right w:w="62" w:type="dxa"/>
        </w:tblCellMar>
        <w:tblLook w:val="0000"/>
      </w:tblPr>
      <w:tblGrid>
        <w:gridCol w:w="1134"/>
        <w:gridCol w:w="7937"/>
      </w:tblGrid>
      <w:tr w:rsidTr="006D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TableHeading"/>
              <w:rPr>
                <w:lang w:val="en-NZ"/>
              </w:rPr>
            </w:pPr>
            <w:r w:rsidRPr="009C3BF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TableHeading"/>
              <w:rPr>
                <w:lang w:val="en-NZ"/>
              </w:rPr>
            </w:pPr>
            <w:r w:rsidRPr="009C3BFC">
              <w:t>Comments</w:t>
            </w:r>
          </w:p>
        </w:tc>
      </w:tr>
      <w:tr w:rsidTr="006D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BFC">
            <w:pPr>
              <w:pStyle w:val="BodyText"/>
              <w:rPr>
                <w:lang w:val="en-NZ"/>
              </w:rPr>
            </w:pPr>
            <w:r w:rsidRPr="009C3BF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BFC" w:rsidP="009C3BFC">
            <w:pPr>
              <w:pStyle w:val="BodyText"/>
            </w:pPr>
            <w:r w:rsidRPr="009C3BFC">
              <w:t xml:space="preserve">These Assessment Requirements were released in PSP Public Sector Training Package release 1.0 and meet the Standards for Training Packages. </w:t>
            </w:r>
          </w:p>
          <w:p w:rsidR="00000000" w:rsidRPr="009C3BFC" w:rsidP="009C3BFC">
            <w:pPr>
              <w:pStyle w:val="BodyText"/>
            </w:pPr>
          </w:p>
          <w:p w:rsidR="00000000" w:rsidRPr="009C3BFC" w:rsidP="009C3BFC">
            <w:pPr>
              <w:pStyle w:val="ListBullet"/>
            </w:pPr>
            <w:r w:rsidRPr="009C3BFC">
              <w:t>Assessment Requirements created drawing upon specified assessment information from superseded unit</w:t>
            </w:r>
          </w:p>
        </w:tc>
      </w:tr>
    </w:tbl>
    <w:p w:rsidR="00000000" w:rsidRPr="009C3BFC" w:rsidP="009C3BFC">
      <w:pPr>
        <w:pStyle w:val="BodyText"/>
      </w:pPr>
    </w:p>
    <w:p w:rsidR="00000000" w:rsidRPr="009C3BFC" w:rsidP="009C3BFC">
      <w:pPr>
        <w:pStyle w:val="AllowPageBreak"/>
      </w:pPr>
    </w:p>
    <w:p w:rsidR="00000000" w:rsidRPr="009C3BFC" w:rsidP="009C3BFC">
      <w:pPr>
        <w:pStyle w:val="Heading1"/>
      </w:pPr>
      <w:bookmarkStart w:id="9" w:name="O_815356"/>
      <w:bookmarkEnd w:id="9"/>
      <w:r w:rsidRPr="009C3BFC">
        <w:t>Performance Evidence</w:t>
      </w:r>
    </w:p>
    <w:p w:rsidR="00000000" w:rsidRPr="009C3BFC" w:rsidP="006D32CB">
      <w:pPr>
        <w:pStyle w:val="BodyText"/>
      </w:pPr>
      <w:r w:rsidRPr="009C3BFC">
        <w:t>Evidence required to demonstrate competence must satisfy all of the requirements of the elements and performance criteria. If not otherwise specified the candidate must demonstrate evidence of performance of the following on at</w:t>
      </w:r>
      <w:r w:rsidRPr="009C3BFC">
        <w:t xml:space="preserve"> least one occasion.</w:t>
      </w:r>
    </w:p>
    <w:p w:rsidR="00000000" w:rsidRPr="009C3BFC" w:rsidP="009C3BFC">
      <w:pPr>
        <w:pStyle w:val="ListBullet"/>
      </w:pPr>
      <w:r w:rsidRPr="009C3BFC">
        <w:t>using communication, consultation and negotiation styles to suit different audiences and purposes</w:t>
      </w:r>
    </w:p>
    <w:p w:rsidR="00000000" w:rsidRPr="009C3BFC" w:rsidP="009C3BFC">
      <w:pPr>
        <w:pStyle w:val="ListBullet"/>
      </w:pPr>
      <w:r w:rsidRPr="009C3BFC">
        <w:t>managing any consultants used to conduct the fraud/corruption risk assessment</w:t>
      </w:r>
    </w:p>
    <w:p w:rsidR="00000000" w:rsidRPr="009C3BFC" w:rsidP="009C3BFC">
      <w:pPr>
        <w:pStyle w:val="AllowPageBreak"/>
      </w:pPr>
    </w:p>
    <w:p w:rsidR="00000000" w:rsidRPr="009C3BFC" w:rsidP="009C3BFC">
      <w:pPr>
        <w:pStyle w:val="Heading1"/>
      </w:pPr>
      <w:bookmarkStart w:id="10" w:name="O_815357"/>
      <w:bookmarkEnd w:id="10"/>
      <w:r w:rsidRPr="009C3BFC">
        <w:t>Knowledge Evidence</w:t>
      </w:r>
    </w:p>
    <w:p w:rsidR="00000000" w:rsidRPr="009C3BFC" w:rsidP="006D32CB">
      <w:pPr>
        <w:pStyle w:val="BodyText"/>
      </w:pPr>
      <w:r w:rsidRPr="009C3BF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C3BFC" w:rsidP="009C3BFC">
      <w:pPr>
        <w:pStyle w:val="ListBullet"/>
      </w:pPr>
      <w:r w:rsidRPr="009C3BFC">
        <w:t>agency corpo</w:t>
      </w:r>
      <w:r w:rsidRPr="009C3BFC">
        <w:t>rate plan and nature of service provided by the agency</w:t>
      </w:r>
    </w:p>
    <w:p w:rsidR="00000000" w:rsidRPr="009C3BFC" w:rsidP="009C3BFC">
      <w:pPr>
        <w:pStyle w:val="ListBullet"/>
      </w:pPr>
      <w:r w:rsidRPr="009C3BFC">
        <w:t>external reporting requirements</w:t>
      </w:r>
    </w:p>
    <w:p w:rsidR="00000000" w:rsidRPr="009C3BFC" w:rsidP="009C3BFC">
      <w:pPr>
        <w:pStyle w:val="ListBullet"/>
      </w:pPr>
      <w:r w:rsidRPr="009C3BFC">
        <w:t>risk profile of the agency</w:t>
      </w:r>
    </w:p>
    <w:p w:rsidR="00000000" w:rsidRPr="009C3BFC" w:rsidP="009C3BFC">
      <w:pPr>
        <w:pStyle w:val="ListBullet"/>
      </w:pPr>
      <w:r w:rsidRPr="009C3BFC">
        <w:t xml:space="preserve">risk management standards and techniques </w:t>
      </w:r>
    </w:p>
    <w:p w:rsidR="00000000" w:rsidRPr="009C3BFC" w:rsidP="009C3BFC">
      <w:pPr>
        <w:pStyle w:val="ListBullet"/>
      </w:pPr>
      <w:r w:rsidRPr="009C3BFC">
        <w:t>control framework operating in the agency</w:t>
      </w:r>
    </w:p>
    <w:p w:rsidR="00000000" w:rsidRPr="009C3BFC" w:rsidP="009C3BFC">
      <w:pPr>
        <w:pStyle w:val="ListBullet"/>
      </w:pPr>
      <w:r w:rsidRPr="009C3BFC">
        <w:t>how the fraud/corruption risk assessment methodology addre</w:t>
      </w:r>
      <w:r w:rsidRPr="009C3BFC">
        <w:t>sses the agency-relevant criteria for measuring risk</w:t>
      </w:r>
    </w:p>
    <w:p w:rsidR="00000000" w:rsidRPr="009C3BFC" w:rsidP="009C3BFC">
      <w:pPr>
        <w:pStyle w:val="ListBullet"/>
      </w:pPr>
      <w:r w:rsidRPr="009C3BFC">
        <w:t>public sector legislation, policies and procedures including anti</w:t>
      </w:r>
      <w:r w:rsidRPr="009C3BFC">
        <w:noBreakHyphen/>
        <w:t>discrimination and diversity legislation, work health and safety, and environment in the context of fraud/corruption control</w:t>
      </w:r>
    </w:p>
    <w:p w:rsidR="00000000" w:rsidRPr="009C3BFC" w:rsidP="009C3BFC">
      <w:pPr>
        <w:pStyle w:val="AllowPageBreak"/>
      </w:pPr>
    </w:p>
    <w:p w:rsidR="00000000" w:rsidRPr="009C3BFC" w:rsidP="009C3BFC">
      <w:pPr>
        <w:pStyle w:val="Heading1"/>
      </w:pPr>
      <w:bookmarkStart w:id="11" w:name="O_815358"/>
      <w:bookmarkEnd w:id="11"/>
      <w:r w:rsidRPr="009C3BFC">
        <w:t>Assessment Conditions</w:t>
      </w:r>
    </w:p>
    <w:p w:rsidR="00000000" w:rsidRPr="009C3BFC" w:rsidP="006D32CB">
      <w:pPr>
        <w:pStyle w:val="BodyText"/>
      </w:pPr>
      <w:r w:rsidRPr="009C3BFC">
        <w:t xml:space="preserve">This unit contains no specific industry-mandated assessment conditions. Guidance on suggested and recommended conditions and methods can be found in the Implementation Guide. </w:t>
      </w:r>
    </w:p>
    <w:p w:rsidR="006D32CB" w:rsidP="006D32CB">
      <w:pPr>
        <w:pStyle w:val="BodyText"/>
      </w:pPr>
      <w:r w:rsidRPr="009C3BFC">
        <w:t>Assessors must satisfy the NVR/AQTF mandatory compet</w:t>
      </w:r>
      <w:r w:rsidRPr="009C3BFC">
        <w:t>ency requirements for assessors.</w:t>
      </w:r>
    </w:p>
    <w:p w:rsidR="00000000" w:rsidRPr="009C3BFC" w:rsidP="009C3BFC">
      <w:pPr>
        <w:pStyle w:val="Heading1"/>
      </w:pPr>
      <w:bookmarkStart w:id="12" w:name="O_815361"/>
      <w:bookmarkEnd w:id="12"/>
      <w:r w:rsidRPr="009C3BFC">
        <w:t>Links</w:t>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6D32CB">
      <w:pPr>
        <w:pStyle w:val="BodyText"/>
      </w:pPr>
      <w:r w:rsidRPr="009C3BF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51E0">
        <w:rPr>
          <w:rStyle w:val="Hyperlink"/>
        </w:rPr>
        <w:t>https://vetnet.gov.au/Pages/TrainingDocs.aspx?q=bebbece7-ff48-4d2c-8876-405679019623</w:t>
      </w:r>
      <w:r>
        <w:fldChar w:fldCharType="end"/>
      </w:r>
    </w:p>
    <w:p w:rsidR="00000000" w:rsidRPr="009C3BFC" w:rsidP="009C3BFC"/>
    <w:sectPr w:rsidSect="009C3B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rsidRPr="006D32CB" w:rsidP="006D3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CB" w:rsidP="009C3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2CB" w:rsidP="009C3B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D32CB" w:rsidP="009C3B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rsidP="009C3BFC">
    <w:pPr>
      <w:pStyle w:val="Footer"/>
      <w:framePr w:wrap="around"/>
    </w:pPr>
    <w:r>
      <w:fldChar w:fldCharType="begin"/>
    </w:r>
    <w:r>
      <w:instrText xml:space="preserve"> DOCPROPERTY  Subject  \* MERGEFORMAT </w:instrText>
    </w:r>
    <w:r>
      <w:fldChar w:fldCharType="separate"/>
    </w:r>
    <w:r w:rsidR="006D32CB">
      <w:t>Approved</w:t>
    </w:r>
    <w:r w:rsidR="006D32CB">
      <w:fldChar w:fldCharType="end"/>
    </w:r>
    <w:r>
      <w:tab/>
      <w:t xml:space="preserve">Page </w:t>
    </w:r>
    <w:r>
      <w:fldChar w:fldCharType="begin"/>
    </w:r>
    <w:r>
      <w:instrText xml:space="preserve"> PAGE  \* Arabic  \* MERGEFORMAT </w:instrText>
    </w:r>
    <w:r>
      <w:fldChar w:fldCharType="separate"/>
    </w:r>
    <w:r w:rsidR="006D32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2CB">
      <w:rPr>
        <w:noProof/>
      </w:rPr>
      <w:t>4</w:t>
    </w:r>
    <w:r>
      <w:rPr>
        <w:noProof/>
      </w:rPr>
      <w:fldChar w:fldCharType="end"/>
    </w:r>
  </w:p>
  <w:p w:rsidR="009C3BFC" w:rsidP="009C3BFC">
    <w:pPr>
      <w:pStyle w:val="Footer"/>
      <w:framePr w:wrap="around"/>
    </w:pPr>
    <w:r>
      <w:t xml:space="preserve">© Commonwealth of Australia, </w:t>
    </w:r>
    <w:r>
      <w:fldChar w:fldCharType="begin"/>
    </w:r>
    <w:r>
      <w:instrText xml:space="preserve"> DATE  \@ "yyyy"  \* MERGEFORMAT </w:instrText>
    </w:r>
    <w:r>
      <w:fldChar w:fldCharType="separate"/>
    </w:r>
    <w:r w:rsidR="006D32CB">
      <w:rPr>
        <w:noProof/>
      </w:rPr>
      <w:t>2025</w:t>
    </w:r>
    <w:r>
      <w:fldChar w:fldCharType="end"/>
    </w:r>
    <w:r>
      <w:tab/>
    </w:r>
    <w:r>
      <w:fldChar w:fldCharType="begin"/>
    </w:r>
    <w:r>
      <w:instrText xml:space="preserve"> DOCPROPERTY  Author  \* MERGEFORMAT </w:instrText>
    </w:r>
    <w:r>
      <w:fldChar w:fldCharType="separate"/>
    </w:r>
    <w:r w:rsidR="006D32CB">
      <w:t>Public Skills Australia</w:t>
    </w:r>
    <w:r w:rsidR="006D32CB">
      <w:fldChar w:fldCharType="end"/>
    </w:r>
  </w:p>
  <w:p w:rsidR="009C3BFC" w:rsidP="009C3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BFC" w:rsidRPr="006D32CB" w:rsidP="006D3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CB" w:rsidRPr="002D2AF8" w:rsidP="009C3BFC">
    <w:pPr>
      <w:pStyle w:val="Header"/>
      <w:framePr w:wrap="around"/>
    </w:pPr>
    <w:r>
      <w:fldChar w:fldCharType="begin"/>
    </w:r>
    <w:r>
      <w:instrText xml:space="preserve"> TITLE   \* MERGEFORMAT </w:instrText>
    </w:r>
    <w:r>
      <w:fldChar w:fldCharType="separate"/>
    </w:r>
    <w:r>
      <w:t>PSPFRU010 Manage fraud risk assessment and action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32CB" w:rsidP="009C3B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C" w:rsidRPr="002D2AF8" w:rsidP="009C3BFC">
    <w:pPr>
      <w:pStyle w:val="Header"/>
      <w:framePr w:wrap="around"/>
    </w:pPr>
    <w:r>
      <w:fldChar w:fldCharType="begin"/>
    </w:r>
    <w:r>
      <w:instrText xml:space="preserve"> TITLE   \* MERGEFORMAT </w:instrText>
    </w:r>
    <w:r>
      <w:fldChar w:fldCharType="separate"/>
    </w:r>
    <w:r w:rsidR="006D32CB">
      <w:t>PSPFRU010 Manage fraud risk assessment and action plan</w:t>
    </w:r>
    <w:r w:rsidR="006D32CB">
      <w:fldChar w:fldCharType="end"/>
    </w:r>
    <w:r>
      <w:tab/>
      <w:t xml:space="preserve">Date this document was generated: </w:t>
    </w:r>
    <w:r>
      <w:fldChar w:fldCharType="begin"/>
    </w:r>
    <w:r>
      <w:instrText xml:space="preserve"> CREATEDATE  \@ "d MMMM yyyy"  \* MERGEFORMAT </w:instrText>
    </w:r>
    <w:r>
      <w:fldChar w:fldCharType="separate"/>
    </w:r>
    <w:r w:rsidR="006D32CB">
      <w:rPr>
        <w:noProof/>
      </w:rPr>
      <w:t>2 March 2025</w:t>
    </w:r>
    <w:r>
      <w:fldChar w:fldCharType="end"/>
    </w:r>
  </w:p>
  <w:p w:rsidR="009C3BFC" w:rsidP="009C3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E41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1EF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BFC"/>
    <w:pPr>
      <w:spacing w:before="360" w:after="60"/>
      <w:outlineLvl w:val="0"/>
    </w:pPr>
    <w:rPr>
      <w:sz w:val="32"/>
    </w:rPr>
  </w:style>
  <w:style w:type="paragraph" w:styleId="Heading2">
    <w:name w:val="heading 2"/>
    <w:basedOn w:val="HeadingBase"/>
    <w:next w:val="BodyText"/>
    <w:link w:val="Heading2Char"/>
    <w:qFormat/>
    <w:rsid w:val="009C3BFC"/>
    <w:pPr>
      <w:keepLines/>
      <w:spacing w:before="240" w:after="120"/>
      <w:outlineLvl w:val="1"/>
    </w:pPr>
    <w:rPr>
      <w:sz w:val="28"/>
      <w:szCs w:val="40"/>
    </w:rPr>
  </w:style>
  <w:style w:type="paragraph" w:styleId="Heading3">
    <w:name w:val="heading 3"/>
    <w:basedOn w:val="HeadingBase"/>
    <w:next w:val="BodyText"/>
    <w:link w:val="Heading3Char"/>
    <w:qFormat/>
    <w:rsid w:val="009C3BFC"/>
    <w:pPr>
      <w:spacing w:before="180" w:after="120"/>
      <w:outlineLvl w:val="2"/>
    </w:pPr>
    <w:rPr>
      <w:spacing w:val="-10"/>
      <w:kern w:val="32"/>
    </w:rPr>
  </w:style>
  <w:style w:type="paragraph" w:styleId="Heading4">
    <w:name w:val="heading 4"/>
    <w:basedOn w:val="HeadingBase"/>
    <w:next w:val="BodyText"/>
    <w:link w:val="Heading4Char"/>
    <w:qFormat/>
    <w:rsid w:val="009C3BFC"/>
    <w:pPr>
      <w:spacing w:before="160" w:after="120"/>
      <w:outlineLvl w:val="3"/>
    </w:pPr>
    <w:rPr>
      <w:sz w:val="22"/>
    </w:rPr>
  </w:style>
  <w:style w:type="paragraph" w:styleId="Heading5">
    <w:name w:val="heading 5"/>
    <w:basedOn w:val="HeadingBase"/>
    <w:next w:val="Normal"/>
    <w:link w:val="Heading5Char"/>
    <w:qFormat/>
    <w:rsid w:val="009C3BFC"/>
    <w:pPr>
      <w:spacing w:before="80"/>
      <w:outlineLvl w:val="4"/>
    </w:pPr>
    <w:rPr>
      <w:color w:val="918585"/>
      <w:sz w:val="20"/>
    </w:rPr>
  </w:style>
  <w:style w:type="paragraph" w:styleId="Heading6">
    <w:name w:val="heading 6"/>
    <w:basedOn w:val="HeadingBase"/>
    <w:next w:val="Normal"/>
    <w:link w:val="Heading6Char"/>
    <w:qFormat/>
    <w:rsid w:val="009C3BFC"/>
    <w:pPr>
      <w:spacing w:before="60"/>
      <w:outlineLvl w:val="5"/>
    </w:pPr>
    <w:rPr>
      <w:color w:val="918585"/>
      <w:sz w:val="20"/>
    </w:rPr>
  </w:style>
  <w:style w:type="paragraph" w:styleId="Heading7">
    <w:name w:val="heading 7"/>
    <w:basedOn w:val="Normal"/>
    <w:next w:val="Normal"/>
    <w:link w:val="Heading7Char"/>
    <w:qFormat/>
    <w:rsid w:val="009C3BFC"/>
    <w:pPr>
      <w:ind w:left="720"/>
      <w:outlineLvl w:val="6"/>
    </w:pPr>
    <w:rPr>
      <w:i/>
    </w:rPr>
  </w:style>
  <w:style w:type="paragraph" w:styleId="Heading8">
    <w:name w:val="heading 8"/>
    <w:basedOn w:val="Normal"/>
    <w:next w:val="Normal"/>
    <w:link w:val="Heading8Char"/>
    <w:qFormat/>
    <w:rsid w:val="009C3BFC"/>
    <w:pPr>
      <w:ind w:left="720"/>
      <w:outlineLvl w:val="7"/>
    </w:pPr>
    <w:rPr>
      <w:i/>
    </w:rPr>
  </w:style>
  <w:style w:type="paragraph" w:styleId="Heading9">
    <w:name w:val="heading 9"/>
    <w:basedOn w:val="Normal"/>
    <w:next w:val="Normal"/>
    <w:link w:val="Heading9Char"/>
    <w:qFormat/>
    <w:rsid w:val="009C3BFC"/>
    <w:pPr>
      <w:ind w:left="720"/>
      <w:outlineLvl w:val="8"/>
    </w:pPr>
    <w:rPr>
      <w:i/>
    </w:rPr>
  </w:style>
  <w:style w:type="character" w:default="1" w:styleId="DefaultParagraphFont">
    <w:name w:val="Default Paragraph Font"/>
    <w:uiPriority w:val="1"/>
    <w:unhideWhenUsed/>
    <w:rsid w:val="009C3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BFC"/>
  </w:style>
  <w:style w:type="character" w:customStyle="1" w:styleId="Heading1Char">
    <w:name w:val="Heading 1 Char"/>
    <w:basedOn w:val="DefaultParagraphFont"/>
    <w:link w:val="Heading1"/>
    <w:rsid w:val="009C3BFC"/>
    <w:rPr>
      <w:rFonts w:ascii="Times New Roman" w:eastAsia="Times New Roman" w:hAnsi="Times New Roman" w:cs="Times New Roman"/>
      <w:b/>
      <w:sz w:val="32"/>
      <w:szCs w:val="20"/>
      <w:lang w:eastAsia="en-US"/>
    </w:rPr>
  </w:style>
  <w:style w:type="paragraph" w:styleId="BodyText">
    <w:name w:val="Body Text"/>
    <w:basedOn w:val="Normal"/>
    <w:link w:val="BodyTextChar"/>
    <w:rsid w:val="009C3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BFC"/>
    <w:rPr>
      <w:rFonts w:ascii="Times New Roman" w:eastAsia="Times New Roman" w:hAnsi="Times New Roman" w:cs="Times New Roman"/>
      <w:sz w:val="24"/>
      <w:lang w:eastAsia="en-US"/>
    </w:rPr>
  </w:style>
  <w:style w:type="paragraph" w:styleId="List">
    <w:name w:val="List"/>
    <w:basedOn w:val="BodyText"/>
    <w:next w:val="BodyText"/>
    <w:rsid w:val="009C3BFC"/>
    <w:pPr>
      <w:tabs>
        <w:tab w:val="left" w:pos="340"/>
      </w:tabs>
      <w:spacing w:before="60" w:after="60"/>
      <w:ind w:left="340" w:hanging="340"/>
    </w:pPr>
  </w:style>
  <w:style w:type="paragraph" w:styleId="ListBullet">
    <w:name w:val="List Bullet"/>
    <w:basedOn w:val="List"/>
    <w:rsid w:val="009C3BFC"/>
    <w:pPr>
      <w:numPr>
        <w:numId w:val="11"/>
      </w:numPr>
      <w:tabs>
        <w:tab w:val="clear" w:pos="340"/>
      </w:tabs>
      <w:spacing w:before="40" w:after="40"/>
    </w:pPr>
  </w:style>
  <w:style w:type="character" w:customStyle="1" w:styleId="SpecialBold">
    <w:name w:val="Special Bold"/>
    <w:basedOn w:val="DefaultParagraphFont"/>
    <w:rsid w:val="009C3BFC"/>
    <w:rPr>
      <w:b/>
      <w:spacing w:val="0"/>
    </w:rPr>
  </w:style>
  <w:style w:type="paragraph" w:customStyle="1" w:styleId="SuperHeading">
    <w:name w:val="SuperHeading"/>
    <w:basedOn w:val="Normal"/>
    <w:rsid w:val="009C3BFC"/>
    <w:pPr>
      <w:spacing w:before="240" w:after="120"/>
      <w:outlineLvl w:val="0"/>
    </w:pPr>
    <w:rPr>
      <w:rFonts w:ascii="Times New Roman" w:hAnsi="Times New Roman"/>
      <w:b/>
      <w:sz w:val="32"/>
    </w:rPr>
  </w:style>
  <w:style w:type="paragraph" w:customStyle="1" w:styleId="TableHeading">
    <w:name w:val="Table Heading"/>
    <w:basedOn w:val="HeadingBase"/>
    <w:rsid w:val="009C3BFC"/>
    <w:pPr>
      <w:keepLines/>
      <w:pBdr>
        <w:bottom w:val="single" w:sz="6" w:space="1" w:color="918585"/>
      </w:pBdr>
      <w:spacing w:before="240"/>
    </w:pPr>
  </w:style>
  <w:style w:type="paragraph" w:customStyle="1" w:styleId="AllowPageBreak">
    <w:name w:val="AllowPageBreak"/>
    <w:rsid w:val="009C3B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BFC"/>
    <w:rPr>
      <w:rFonts w:ascii="Courier New" w:eastAsia="Times New Roman" w:hAnsi="Courier New" w:cs="Times New Roman"/>
      <w:i/>
      <w:szCs w:val="20"/>
      <w:lang w:eastAsia="en-US"/>
    </w:rPr>
  </w:style>
  <w:style w:type="paragraph" w:customStyle="1" w:styleId="HeadingBase">
    <w:name w:val="Heading Base"/>
    <w:rsid w:val="009C3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BFC"/>
    <w:pPr>
      <w:tabs>
        <w:tab w:val="right" w:leader="dot" w:pos="9072"/>
      </w:tabs>
      <w:ind w:left="567"/>
    </w:pPr>
    <w:rPr>
      <w:szCs w:val="22"/>
    </w:rPr>
  </w:style>
  <w:style w:type="paragraph" w:customStyle="1" w:styleId="TOCBase">
    <w:name w:val="TOC Base"/>
    <w:rsid w:val="009C3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BFC"/>
    <w:pPr>
      <w:tabs>
        <w:tab w:val="right" w:leader="dot" w:pos="9072"/>
      </w:tabs>
      <w:spacing w:before="40" w:after="40"/>
      <w:ind w:left="284"/>
    </w:pPr>
    <w:rPr>
      <w:rFonts w:ascii="Times New Roman" w:hAnsi="Times New Roman"/>
    </w:rPr>
  </w:style>
  <w:style w:type="paragraph" w:styleId="TOC1">
    <w:name w:val="toc 1"/>
    <w:basedOn w:val="TOCBase"/>
    <w:next w:val="Normal"/>
    <w:rsid w:val="009C3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BFC"/>
    <w:rPr>
      <w:rFonts w:ascii="Times New Roman" w:eastAsia="Times New Roman" w:hAnsi="Times New Roman" w:cs="Times New Roman"/>
      <w:sz w:val="16"/>
      <w:lang w:eastAsia="en-US"/>
    </w:rPr>
  </w:style>
  <w:style w:type="paragraph" w:styleId="Title">
    <w:name w:val="Title"/>
    <w:basedOn w:val="HeadingBase"/>
    <w:link w:val="TitleChar"/>
    <w:qFormat/>
    <w:rsid w:val="009C3BFC"/>
    <w:pPr>
      <w:spacing w:before="5040"/>
      <w:jc w:val="center"/>
    </w:pPr>
    <w:rPr>
      <w:sz w:val="48"/>
      <w:szCs w:val="72"/>
      <w:lang w:val="en-US"/>
    </w:rPr>
  </w:style>
  <w:style w:type="character" w:customStyle="1" w:styleId="TitleChar">
    <w:name w:val="Title Char"/>
    <w:basedOn w:val="DefaultParagraphFont"/>
    <w:link w:val="Title"/>
    <w:rsid w:val="009C3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BFC"/>
    <w:pPr>
      <w:tabs>
        <w:tab w:val="left" w:pos="3600"/>
        <w:tab w:val="left" w:pos="3958"/>
      </w:tabs>
    </w:pPr>
  </w:style>
  <w:style w:type="paragraph" w:customStyle="1" w:styleId="Note">
    <w:name w:val="Note"/>
    <w:basedOn w:val="BodyText"/>
    <w:rsid w:val="009C3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BFC"/>
    <w:pPr>
      <w:framePr w:wrap="auto" w:hAnchor="text" w:y="6049"/>
    </w:pPr>
    <w:rPr>
      <w:color w:val="000000"/>
      <w:sz w:val="40"/>
    </w:rPr>
  </w:style>
  <w:style w:type="paragraph" w:customStyle="1" w:styleId="TOCTitle">
    <w:name w:val="TOCTitle"/>
    <w:basedOn w:val="Heading1"/>
    <w:rsid w:val="009C3BFC"/>
    <w:pPr>
      <w:spacing w:after="240"/>
      <w:jc w:val="center"/>
      <w:outlineLvl w:val="9"/>
    </w:pPr>
    <w:rPr>
      <w:caps/>
    </w:rPr>
  </w:style>
  <w:style w:type="paragraph" w:customStyle="1" w:styleId="Version">
    <w:name w:val="Version"/>
    <w:rsid w:val="009C3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BFC"/>
    <w:pPr>
      <w:numPr>
        <w:numId w:val="12"/>
      </w:numPr>
      <w:tabs>
        <w:tab w:val="clear" w:pos="680"/>
      </w:tabs>
    </w:pPr>
  </w:style>
  <w:style w:type="paragraph" w:styleId="Index1">
    <w:name w:val="index 1"/>
    <w:basedOn w:val="Normal"/>
    <w:next w:val="Normal"/>
    <w:semiHidden/>
    <w:rsid w:val="009C3BFC"/>
    <w:pPr>
      <w:keepNext w:val="0"/>
      <w:tabs>
        <w:tab w:val="right" w:pos="4176"/>
      </w:tabs>
      <w:ind w:left="198" w:hanging="198"/>
    </w:pPr>
    <w:rPr>
      <w:rFonts w:ascii="Garamond" w:hAnsi="Garamond"/>
    </w:rPr>
  </w:style>
  <w:style w:type="paragraph" w:styleId="IndexHeading">
    <w:name w:val="index heading"/>
    <w:basedOn w:val="Normal"/>
    <w:next w:val="Index1"/>
    <w:semiHidden/>
    <w:rsid w:val="009C3BFC"/>
    <w:pPr>
      <w:spacing w:before="120" w:after="120"/>
    </w:pPr>
    <w:rPr>
      <w:rFonts w:ascii="Arial" w:hAnsi="Arial"/>
      <w:b/>
      <w:color w:val="918585"/>
      <w:sz w:val="24"/>
    </w:rPr>
  </w:style>
  <w:style w:type="paragraph" w:styleId="Header">
    <w:name w:val="header"/>
    <w:basedOn w:val="Normal"/>
    <w:link w:val="HeaderChar"/>
    <w:rsid w:val="009C3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BFC"/>
    <w:rPr>
      <w:rFonts w:ascii="Times New Roman" w:eastAsia="Times New Roman" w:hAnsi="Times New Roman" w:cs="Times New Roman"/>
      <w:sz w:val="16"/>
      <w:szCs w:val="20"/>
      <w:lang w:val="en-GB" w:eastAsia="en-US"/>
    </w:rPr>
  </w:style>
  <w:style w:type="paragraph" w:customStyle="1" w:styleId="Chapter">
    <w:name w:val="Chapter"/>
    <w:basedOn w:val="Normal"/>
    <w:rsid w:val="009C3BFC"/>
    <w:pPr>
      <w:spacing w:before="240"/>
    </w:pPr>
    <w:rPr>
      <w:rFonts w:ascii="Times New Roman" w:hAnsi="Times New Roman"/>
      <w:smallCaps/>
      <w:spacing w:val="80"/>
      <w:sz w:val="28"/>
    </w:rPr>
  </w:style>
  <w:style w:type="paragraph" w:customStyle="1" w:styleId="InChapter">
    <w:name w:val="InChapter"/>
    <w:basedOn w:val="Heading3"/>
    <w:rsid w:val="009C3BFC"/>
    <w:pPr>
      <w:spacing w:after="240"/>
      <w:outlineLvl w:val="9"/>
    </w:pPr>
    <w:rPr>
      <w:noProof/>
    </w:rPr>
  </w:style>
  <w:style w:type="paragraph" w:styleId="Index2">
    <w:name w:val="index 2"/>
    <w:basedOn w:val="Normal"/>
    <w:next w:val="Normal"/>
    <w:semiHidden/>
    <w:rsid w:val="009C3BFC"/>
    <w:pPr>
      <w:tabs>
        <w:tab w:val="right" w:pos="4176"/>
      </w:tabs>
      <w:ind w:left="568" w:hanging="284"/>
    </w:pPr>
    <w:rPr>
      <w:rFonts w:ascii="Garamond" w:hAnsi="Garamond"/>
    </w:rPr>
  </w:style>
  <w:style w:type="paragraph" w:customStyle="1" w:styleId="Byline">
    <w:name w:val="Byline"/>
    <w:rsid w:val="009C3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BFC"/>
    <w:pPr>
      <w:tabs>
        <w:tab w:val="clear" w:pos="3600"/>
        <w:tab w:val="clear" w:pos="3958"/>
      </w:tabs>
      <w:jc w:val="right"/>
    </w:pPr>
  </w:style>
  <w:style w:type="character" w:styleId="Emphasis">
    <w:name w:val="Emphasis"/>
    <w:basedOn w:val="DefaultParagraphFont"/>
    <w:qFormat/>
    <w:rsid w:val="009C3BFC"/>
    <w:rPr>
      <w:i/>
    </w:rPr>
  </w:style>
  <w:style w:type="paragraph" w:styleId="Caption">
    <w:name w:val="caption"/>
    <w:basedOn w:val="BodyText"/>
    <w:next w:val="Normal"/>
    <w:qFormat/>
    <w:rsid w:val="009C3BFC"/>
    <w:pPr>
      <w:framePr w:w="2268" w:hSpace="181" w:vSpace="181" w:wrap="around" w:vAnchor="text" w:hAnchor="page" w:x="1135" w:y="285" w:anchorLock="1"/>
    </w:pPr>
    <w:rPr>
      <w:i/>
    </w:rPr>
  </w:style>
  <w:style w:type="paragraph" w:customStyle="1" w:styleId="MiniTOCTitle">
    <w:name w:val="MiniTOCTitle"/>
    <w:basedOn w:val="Heading4"/>
    <w:rsid w:val="009C3BFC"/>
    <w:pPr>
      <w:spacing w:before="240"/>
      <w:outlineLvl w:val="9"/>
    </w:pPr>
    <w:rPr>
      <w:noProof/>
      <w:sz w:val="24"/>
    </w:rPr>
  </w:style>
  <w:style w:type="paragraph" w:customStyle="1" w:styleId="MiniTOCItem">
    <w:name w:val="MiniTOCItem"/>
    <w:basedOn w:val="ListBullet"/>
    <w:rsid w:val="009C3BFC"/>
    <w:pPr>
      <w:numPr>
        <w:numId w:val="0"/>
      </w:numPr>
      <w:tabs>
        <w:tab w:val="right" w:leader="dot" w:pos="6521"/>
      </w:tabs>
      <w:spacing w:before="0" w:after="0"/>
    </w:pPr>
  </w:style>
  <w:style w:type="paragraph" w:customStyle="1" w:styleId="TOFTitle">
    <w:name w:val="TOFTitle"/>
    <w:basedOn w:val="TOCTitle"/>
    <w:rsid w:val="009C3BFC"/>
  </w:style>
  <w:style w:type="paragraph" w:styleId="TableofFigures">
    <w:name w:val="table of figures"/>
    <w:basedOn w:val="Normal"/>
    <w:next w:val="Normal"/>
    <w:semiHidden/>
    <w:rsid w:val="009C3BFC"/>
    <w:pPr>
      <w:tabs>
        <w:tab w:val="right" w:leader="dot" w:pos="9072"/>
      </w:tabs>
      <w:ind w:left="970" w:hanging="403"/>
    </w:pPr>
    <w:rPr>
      <w:rFonts w:ascii="Times New Roman" w:hAnsi="Times New Roman"/>
      <w:b/>
    </w:rPr>
  </w:style>
  <w:style w:type="paragraph" w:styleId="ListNumber">
    <w:name w:val="List Number"/>
    <w:basedOn w:val="List"/>
    <w:rsid w:val="009C3BFC"/>
    <w:pPr>
      <w:numPr>
        <w:numId w:val="14"/>
      </w:numPr>
      <w:tabs>
        <w:tab w:val="clear" w:pos="340"/>
      </w:tabs>
    </w:pPr>
  </w:style>
  <w:style w:type="character" w:customStyle="1" w:styleId="WingdingSymbols">
    <w:name w:val="Wingding Symbols"/>
    <w:rsid w:val="009C3BFC"/>
    <w:rPr>
      <w:rFonts w:ascii="Wingdings" w:hAnsi="Wingdings"/>
    </w:rPr>
  </w:style>
  <w:style w:type="character" w:customStyle="1" w:styleId="HotSpot">
    <w:name w:val="HotSpot"/>
    <w:rsid w:val="009C3BFC"/>
    <w:rPr>
      <w:color w:val="0033CC"/>
      <w:u w:val="none"/>
    </w:rPr>
  </w:style>
  <w:style w:type="paragraph" w:customStyle="1" w:styleId="BodyTextRight">
    <w:name w:val="Body Text Right"/>
    <w:basedOn w:val="BodyText"/>
    <w:rsid w:val="009C3BFC"/>
    <w:pPr>
      <w:spacing w:before="0" w:after="0"/>
      <w:jc w:val="right"/>
    </w:pPr>
  </w:style>
  <w:style w:type="paragraph" w:styleId="Index3">
    <w:name w:val="index 3"/>
    <w:basedOn w:val="ListNumber2"/>
    <w:next w:val="Normal"/>
    <w:semiHidden/>
    <w:rsid w:val="009C3BFC"/>
    <w:pPr>
      <w:numPr>
        <w:numId w:val="0"/>
      </w:numPr>
      <w:tabs>
        <w:tab w:val="right" w:leader="dot" w:pos="4176"/>
      </w:tabs>
    </w:pPr>
  </w:style>
  <w:style w:type="paragraph" w:styleId="ListNumber2">
    <w:name w:val="List Number 2"/>
    <w:basedOn w:val="List2"/>
    <w:rsid w:val="009C3BFC"/>
    <w:pPr>
      <w:numPr>
        <w:numId w:val="9"/>
      </w:numPr>
      <w:tabs>
        <w:tab w:val="clear" w:pos="1060"/>
      </w:tabs>
    </w:pPr>
  </w:style>
  <w:style w:type="paragraph" w:customStyle="1" w:styleId="MarginNote">
    <w:name w:val="Margin Note"/>
    <w:basedOn w:val="BodyText"/>
    <w:rsid w:val="009C3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BFC"/>
    <w:rPr>
      <w:sz w:val="32"/>
    </w:rPr>
  </w:style>
  <w:style w:type="paragraph" w:customStyle="1" w:styleId="HeadingProcedure">
    <w:name w:val="Heading Procedure"/>
    <w:basedOn w:val="HeadingBase"/>
    <w:next w:val="Normal"/>
    <w:rsid w:val="009C3BFC"/>
    <w:pPr>
      <w:tabs>
        <w:tab w:val="left" w:pos="0"/>
      </w:tabs>
      <w:spacing w:before="120" w:after="60"/>
    </w:pPr>
    <w:rPr>
      <w:i/>
      <w:color w:val="918585"/>
      <w:sz w:val="22"/>
    </w:rPr>
  </w:style>
  <w:style w:type="paragraph" w:customStyle="1" w:styleId="TableBodyText">
    <w:name w:val="Table Body Text"/>
    <w:basedOn w:val="BodyText"/>
    <w:rsid w:val="009C3BFC"/>
    <w:pPr>
      <w:spacing w:before="60" w:after="60"/>
    </w:pPr>
  </w:style>
  <w:style w:type="paragraph" w:styleId="ListContinue">
    <w:name w:val="List Continue"/>
    <w:basedOn w:val="List"/>
    <w:rsid w:val="009C3BFC"/>
    <w:pPr>
      <w:ind w:firstLine="0"/>
    </w:pPr>
  </w:style>
  <w:style w:type="paragraph" w:customStyle="1" w:styleId="ListNote">
    <w:name w:val="List Note"/>
    <w:basedOn w:val="List"/>
    <w:rsid w:val="009C3BFC"/>
    <w:pPr>
      <w:pBdr>
        <w:top w:val="single" w:sz="6" w:space="2" w:color="918585"/>
        <w:bottom w:val="single" w:sz="6" w:space="2" w:color="918585"/>
      </w:pBdr>
      <w:tabs>
        <w:tab w:val="left" w:pos="1021"/>
      </w:tabs>
      <w:ind w:firstLine="0"/>
    </w:pPr>
  </w:style>
  <w:style w:type="paragraph" w:customStyle="1" w:styleId="Warning">
    <w:name w:val="Warning"/>
    <w:basedOn w:val="BodyText"/>
    <w:rsid w:val="009C3BFC"/>
    <w:pPr>
      <w:shd w:val="clear" w:color="auto" w:fill="D9D9D9"/>
      <w:tabs>
        <w:tab w:val="left" w:pos="992"/>
      </w:tabs>
      <w:ind w:left="119" w:right="119"/>
    </w:pPr>
    <w:rPr>
      <w:sz w:val="20"/>
    </w:rPr>
  </w:style>
  <w:style w:type="paragraph" w:customStyle="1" w:styleId="MarginIcons">
    <w:name w:val="Margin Icons"/>
    <w:basedOn w:val="BodyText"/>
    <w:rsid w:val="009C3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BFC"/>
    <w:rPr>
      <w:rFonts w:ascii="Courier New" w:hAnsi="Courier New"/>
    </w:rPr>
  </w:style>
  <w:style w:type="paragraph" w:customStyle="1" w:styleId="NoteBullet">
    <w:name w:val="Note Bullet"/>
    <w:basedOn w:val="Note"/>
    <w:rsid w:val="009C3BFC"/>
    <w:pPr>
      <w:tabs>
        <w:tab w:val="clear" w:pos="680"/>
      </w:tabs>
      <w:spacing w:before="60" w:after="60"/>
    </w:pPr>
  </w:style>
  <w:style w:type="paragraph" w:customStyle="1" w:styleId="SubHeading2">
    <w:name w:val="SubHeading2"/>
    <w:basedOn w:val="HeadingBase"/>
    <w:rsid w:val="009C3BFC"/>
    <w:pPr>
      <w:spacing w:before="240" w:after="60"/>
    </w:pPr>
    <w:rPr>
      <w:sz w:val="20"/>
    </w:rPr>
  </w:style>
  <w:style w:type="paragraph" w:customStyle="1" w:styleId="SubHeading1">
    <w:name w:val="SubHeading1"/>
    <w:basedOn w:val="HeadingBase"/>
    <w:rsid w:val="009C3BFC"/>
    <w:pPr>
      <w:spacing w:before="240" w:after="60"/>
    </w:pPr>
    <w:rPr>
      <w:color w:val="918585"/>
      <w:sz w:val="22"/>
    </w:rPr>
  </w:style>
  <w:style w:type="paragraph" w:customStyle="1" w:styleId="SideHeading">
    <w:name w:val="Side Heading"/>
    <w:basedOn w:val="HeadingBase"/>
    <w:rsid w:val="009C3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BFC"/>
    <w:pPr>
      <w:numPr>
        <w:numId w:val="10"/>
      </w:numPr>
    </w:pPr>
  </w:style>
  <w:style w:type="paragraph" w:styleId="PlainText">
    <w:name w:val="Plain Text"/>
    <w:basedOn w:val="Normal"/>
    <w:link w:val="PlainTextChar"/>
    <w:rsid w:val="009C3BFC"/>
    <w:rPr>
      <w:sz w:val="20"/>
    </w:rPr>
  </w:style>
  <w:style w:type="character" w:customStyle="1" w:styleId="PlainTextChar">
    <w:name w:val="Plain Text Char"/>
    <w:basedOn w:val="DefaultParagraphFont"/>
    <w:link w:val="PlainText"/>
    <w:rsid w:val="009C3BFC"/>
    <w:rPr>
      <w:rFonts w:ascii="Courier New" w:eastAsia="Times New Roman" w:hAnsi="Courier New" w:cs="Times New Roman"/>
      <w:sz w:val="20"/>
      <w:szCs w:val="20"/>
      <w:lang w:eastAsia="en-US"/>
    </w:rPr>
  </w:style>
  <w:style w:type="character" w:customStyle="1" w:styleId="MenuOption">
    <w:name w:val="Menu Option"/>
    <w:basedOn w:val="DefaultParagraphFont"/>
    <w:rsid w:val="009C3BFC"/>
    <w:rPr>
      <w:b/>
      <w:smallCaps/>
    </w:rPr>
  </w:style>
  <w:style w:type="paragraph" w:customStyle="1" w:styleId="TableListNumber">
    <w:name w:val="Table List Number"/>
    <w:basedOn w:val="ListNumber"/>
    <w:rsid w:val="009C3BFC"/>
    <w:pPr>
      <w:numPr>
        <w:numId w:val="0"/>
      </w:numPr>
    </w:pPr>
  </w:style>
  <w:style w:type="paragraph" w:styleId="TOC4">
    <w:name w:val="toc 4"/>
    <w:basedOn w:val="TOCBase"/>
    <w:next w:val="Normal"/>
    <w:semiHidden/>
    <w:rsid w:val="009C3BFC"/>
    <w:pPr>
      <w:tabs>
        <w:tab w:val="right" w:leader="dot" w:pos="9071"/>
      </w:tabs>
      <w:ind w:left="1701"/>
    </w:pPr>
  </w:style>
  <w:style w:type="paragraph" w:customStyle="1" w:styleId="ListAlpha">
    <w:name w:val="List Alpha"/>
    <w:basedOn w:val="List"/>
    <w:rsid w:val="009C3BFC"/>
    <w:pPr>
      <w:numPr>
        <w:numId w:val="8"/>
      </w:numPr>
    </w:pPr>
  </w:style>
  <w:style w:type="paragraph" w:customStyle="1" w:styleId="ListAlpha2">
    <w:name w:val="List Alpha 2"/>
    <w:basedOn w:val="List2"/>
    <w:rsid w:val="009C3BFC"/>
    <w:pPr>
      <w:numPr>
        <w:numId w:val="7"/>
      </w:numPr>
    </w:pPr>
  </w:style>
  <w:style w:type="paragraph" w:styleId="List2">
    <w:name w:val="List 2"/>
    <w:basedOn w:val="BodyText"/>
    <w:rsid w:val="009C3BFC"/>
    <w:pPr>
      <w:tabs>
        <w:tab w:val="left" w:pos="680"/>
      </w:tabs>
      <w:spacing w:before="60" w:after="60"/>
      <w:ind w:left="680" w:hanging="340"/>
    </w:pPr>
  </w:style>
  <w:style w:type="paragraph" w:styleId="List3">
    <w:name w:val="List 3"/>
    <w:basedOn w:val="BodyText"/>
    <w:rsid w:val="009C3BFC"/>
    <w:pPr>
      <w:tabs>
        <w:tab w:val="left" w:pos="1021"/>
      </w:tabs>
      <w:spacing w:before="60" w:after="60"/>
      <w:ind w:left="1020" w:hanging="340"/>
    </w:pPr>
  </w:style>
  <w:style w:type="paragraph" w:styleId="List4">
    <w:name w:val="List 4"/>
    <w:basedOn w:val="BodyText"/>
    <w:rsid w:val="009C3BFC"/>
    <w:pPr>
      <w:tabs>
        <w:tab w:val="left" w:pos="1361"/>
      </w:tabs>
      <w:spacing w:before="60" w:after="60"/>
      <w:ind w:left="1361" w:hanging="340"/>
    </w:pPr>
  </w:style>
  <w:style w:type="paragraph" w:styleId="List5">
    <w:name w:val="List 5"/>
    <w:basedOn w:val="BodyText"/>
    <w:rsid w:val="009C3BFC"/>
    <w:pPr>
      <w:tabs>
        <w:tab w:val="left" w:pos="1701"/>
      </w:tabs>
      <w:spacing w:before="60" w:after="60"/>
      <w:ind w:left="1701" w:hanging="340"/>
    </w:pPr>
  </w:style>
  <w:style w:type="paragraph" w:styleId="ListBullet3">
    <w:name w:val="List Bullet 3"/>
    <w:basedOn w:val="List3"/>
    <w:rsid w:val="009C3BFC"/>
    <w:pPr>
      <w:numPr>
        <w:numId w:val="13"/>
      </w:numPr>
      <w:tabs>
        <w:tab w:val="clear" w:pos="1021"/>
      </w:tabs>
      <w:ind w:left="1037" w:hanging="357"/>
    </w:pPr>
  </w:style>
  <w:style w:type="paragraph" w:styleId="ListBullet4">
    <w:name w:val="List Bullet 4"/>
    <w:basedOn w:val="List4"/>
    <w:rsid w:val="009C3BFC"/>
    <w:pPr>
      <w:numPr>
        <w:numId w:val="2"/>
      </w:numPr>
      <w:tabs>
        <w:tab w:val="clear" w:pos="1361"/>
      </w:tabs>
    </w:pPr>
  </w:style>
  <w:style w:type="paragraph" w:styleId="ListBullet5">
    <w:name w:val="List Bullet 5"/>
    <w:basedOn w:val="List5"/>
    <w:rsid w:val="009C3BFC"/>
    <w:pPr>
      <w:numPr>
        <w:numId w:val="3"/>
      </w:numPr>
    </w:pPr>
  </w:style>
  <w:style w:type="paragraph" w:styleId="ListContinue2">
    <w:name w:val="List Continue 2"/>
    <w:basedOn w:val="List2"/>
    <w:rsid w:val="009C3BFC"/>
    <w:pPr>
      <w:ind w:firstLine="0"/>
    </w:pPr>
  </w:style>
  <w:style w:type="paragraph" w:styleId="ListContinue3">
    <w:name w:val="List Continue 3"/>
    <w:basedOn w:val="List3"/>
    <w:rsid w:val="009C3BFC"/>
    <w:pPr>
      <w:ind w:left="1021" w:firstLine="0"/>
    </w:pPr>
  </w:style>
  <w:style w:type="paragraph" w:styleId="ListContinue4">
    <w:name w:val="List Continue 4"/>
    <w:basedOn w:val="List4"/>
    <w:rsid w:val="009C3BFC"/>
    <w:pPr>
      <w:ind w:firstLine="0"/>
    </w:pPr>
  </w:style>
  <w:style w:type="paragraph" w:styleId="ListContinue5">
    <w:name w:val="List Continue 5"/>
    <w:basedOn w:val="List5"/>
    <w:rsid w:val="009C3BFC"/>
    <w:pPr>
      <w:ind w:firstLine="0"/>
    </w:pPr>
  </w:style>
  <w:style w:type="paragraph" w:styleId="ListNumber3">
    <w:name w:val="List Number 3"/>
    <w:basedOn w:val="List3"/>
    <w:rsid w:val="009C3BFC"/>
    <w:pPr>
      <w:numPr>
        <w:numId w:val="4"/>
      </w:numPr>
    </w:pPr>
  </w:style>
  <w:style w:type="paragraph" w:styleId="ListNumber4">
    <w:name w:val="List Number 4"/>
    <w:basedOn w:val="List4"/>
    <w:rsid w:val="009C3BFC"/>
    <w:pPr>
      <w:numPr>
        <w:numId w:val="5"/>
      </w:numPr>
    </w:pPr>
  </w:style>
  <w:style w:type="paragraph" w:styleId="ListNumber5">
    <w:name w:val="List Number 5"/>
    <w:basedOn w:val="List5"/>
    <w:rsid w:val="009C3BFC"/>
    <w:pPr>
      <w:numPr>
        <w:numId w:val="6"/>
      </w:numPr>
    </w:pPr>
  </w:style>
  <w:style w:type="paragraph" w:styleId="BlockText">
    <w:name w:val="Block Text"/>
    <w:basedOn w:val="Normal"/>
    <w:rsid w:val="009C3BFC"/>
    <w:pPr>
      <w:spacing w:after="120"/>
      <w:ind w:left="1440" w:right="1440"/>
    </w:pPr>
  </w:style>
  <w:style w:type="character" w:customStyle="1" w:styleId="Subscript">
    <w:name w:val="Subscript"/>
    <w:basedOn w:val="DefaultParagraphFont"/>
    <w:rsid w:val="009C3BFC"/>
    <w:rPr>
      <w:sz w:val="16"/>
      <w:vertAlign w:val="subscript"/>
    </w:rPr>
  </w:style>
  <w:style w:type="character" w:customStyle="1" w:styleId="Superscript">
    <w:name w:val="Superscript"/>
    <w:basedOn w:val="DefaultParagraphFont"/>
    <w:rsid w:val="009C3BFC"/>
    <w:rPr>
      <w:sz w:val="16"/>
      <w:vertAlign w:val="superscript"/>
    </w:rPr>
  </w:style>
  <w:style w:type="character" w:customStyle="1" w:styleId="Symbols">
    <w:name w:val="Symbols"/>
    <w:basedOn w:val="DefaultParagraphFont"/>
    <w:rsid w:val="009C3BFC"/>
    <w:rPr>
      <w:rFonts w:ascii="Symbol" w:hAnsi="Symbol"/>
    </w:rPr>
  </w:style>
  <w:style w:type="character" w:customStyle="1" w:styleId="MenuOptions">
    <w:name w:val="Menu Options"/>
    <w:basedOn w:val="DefaultParagraphFont"/>
    <w:rsid w:val="009C3BFC"/>
    <w:rPr>
      <w:rFonts w:ascii="Arial Narrow" w:hAnsi="Arial Narrow"/>
      <w:smallCaps/>
    </w:rPr>
  </w:style>
  <w:style w:type="character" w:customStyle="1" w:styleId="Buttons">
    <w:name w:val="Buttons"/>
    <w:basedOn w:val="DefaultParagraphFont"/>
    <w:rsid w:val="009C3BFC"/>
    <w:rPr>
      <w:b/>
    </w:rPr>
  </w:style>
  <w:style w:type="character" w:customStyle="1" w:styleId="Underlined">
    <w:name w:val="Underlined"/>
    <w:basedOn w:val="DefaultParagraphFont"/>
    <w:rsid w:val="009C3BFC"/>
    <w:rPr>
      <w:u w:val="single"/>
    </w:rPr>
  </w:style>
  <w:style w:type="paragraph" w:customStyle="1" w:styleId="TableBodyTextRight">
    <w:name w:val="Table Body Text Right"/>
    <w:basedOn w:val="TableBodyText"/>
    <w:rsid w:val="009C3BFC"/>
    <w:pPr>
      <w:widowControl w:val="0"/>
      <w:autoSpaceDE w:val="0"/>
      <w:autoSpaceDN w:val="0"/>
      <w:adjustRightInd w:val="0"/>
      <w:jc w:val="right"/>
    </w:pPr>
    <w:rPr>
      <w:rFonts w:cs="Arial"/>
      <w:szCs w:val="18"/>
    </w:rPr>
  </w:style>
  <w:style w:type="paragraph" w:customStyle="1" w:styleId="CopyrightText">
    <w:name w:val="Copyright Text"/>
    <w:basedOn w:val="BodyText"/>
    <w:rsid w:val="009C3BFC"/>
    <w:rPr>
      <w:sz w:val="18"/>
    </w:rPr>
  </w:style>
  <w:style w:type="paragraph" w:customStyle="1" w:styleId="BodySmallRight">
    <w:name w:val="Body Small Right"/>
    <w:basedOn w:val="BodyTextRight"/>
    <w:rsid w:val="009C3BFC"/>
    <w:rPr>
      <w:sz w:val="18"/>
      <w:szCs w:val="18"/>
    </w:rPr>
  </w:style>
  <w:style w:type="paragraph" w:customStyle="1" w:styleId="MarginEdition">
    <w:name w:val="Margin Edition"/>
    <w:basedOn w:val="MarginNote"/>
    <w:rsid w:val="009C3BFC"/>
    <w:pPr>
      <w:spacing w:before="0" w:after="0"/>
    </w:pPr>
    <w:rPr>
      <w:rFonts w:ascii="Times New Roman" w:hAnsi="Times New Roman"/>
      <w:color w:val="999999"/>
    </w:rPr>
  </w:style>
  <w:style w:type="paragraph" w:customStyle="1" w:styleId="Spacer">
    <w:name w:val="Spacer"/>
    <w:basedOn w:val="Normal"/>
    <w:rsid w:val="009C3BFC"/>
    <w:rPr>
      <w:sz w:val="2"/>
      <w:szCs w:val="2"/>
    </w:rPr>
  </w:style>
  <w:style w:type="character" w:customStyle="1" w:styleId="Small">
    <w:name w:val="Small"/>
    <w:basedOn w:val="DefaultParagraphFont"/>
    <w:rsid w:val="009C3BFC"/>
    <w:rPr>
      <w:sz w:val="16"/>
    </w:rPr>
  </w:style>
  <w:style w:type="paragraph" w:customStyle="1" w:styleId="WideTable">
    <w:name w:val="Wide Table"/>
    <w:basedOn w:val="Normal"/>
    <w:rsid w:val="009C3BFC"/>
    <w:pPr>
      <w:ind w:left="-1418"/>
    </w:pPr>
    <w:rPr>
      <w:sz w:val="2"/>
      <w:szCs w:val="2"/>
    </w:rPr>
  </w:style>
  <w:style w:type="character" w:styleId="PageNumber">
    <w:name w:val="page number"/>
    <w:basedOn w:val="DefaultParagraphFont"/>
    <w:rsid w:val="009C3BFC"/>
  </w:style>
  <w:style w:type="paragraph" w:styleId="Quote">
    <w:name w:val="Quote"/>
    <w:basedOn w:val="Heading1"/>
    <w:link w:val="QuoteChar"/>
    <w:qFormat/>
    <w:rsid w:val="009C3BFC"/>
    <w:rPr>
      <w:b w:val="0"/>
      <w:sz w:val="72"/>
      <w:szCs w:val="72"/>
      <w:lang w:val="en-NZ"/>
    </w:rPr>
  </w:style>
  <w:style w:type="character" w:customStyle="1" w:styleId="QuoteChar">
    <w:name w:val="Quote Char"/>
    <w:basedOn w:val="DefaultParagraphFont"/>
    <w:link w:val="Quote"/>
    <w:rsid w:val="009C3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BFC"/>
    <w:pPr>
      <w:pageBreakBefore/>
    </w:pPr>
  </w:style>
  <w:style w:type="paragraph" w:customStyle="1" w:styleId="Border">
    <w:name w:val="Border"/>
    <w:basedOn w:val="Normal"/>
    <w:qFormat/>
    <w:rsid w:val="009C3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BFC"/>
    <w:rPr>
      <w:b/>
      <w:bCs/>
      <w:i/>
      <w:iCs/>
      <w:color w:val="auto"/>
    </w:rPr>
  </w:style>
  <w:style w:type="paragraph" w:styleId="IntenseQuote">
    <w:name w:val="Intense Quote"/>
    <w:basedOn w:val="Normal"/>
    <w:next w:val="Normal"/>
    <w:link w:val="IntenseQuoteChar"/>
    <w:uiPriority w:val="30"/>
    <w:qFormat/>
    <w:rsid w:val="009C3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BFC"/>
    <w:rPr>
      <w:smallCaps/>
      <w:color w:val="auto"/>
      <w:u w:val="single"/>
    </w:rPr>
  </w:style>
  <w:style w:type="character" w:styleId="IntenseReference">
    <w:name w:val="Intense Reference"/>
    <w:basedOn w:val="DefaultParagraphFont"/>
    <w:uiPriority w:val="32"/>
    <w:qFormat/>
    <w:rsid w:val="009C3BFC"/>
    <w:rPr>
      <w:b/>
      <w:bCs/>
      <w:smallCaps/>
      <w:color w:val="auto"/>
      <w:spacing w:val="5"/>
      <w:u w:val="single"/>
    </w:rPr>
  </w:style>
  <w:style w:type="paragraph" w:customStyle="1" w:styleId="2ColumnHeading">
    <w:name w:val="2Column Heading"/>
    <w:basedOn w:val="BodyText"/>
    <w:qFormat/>
    <w:rsid w:val="009C3BFC"/>
    <w:pPr>
      <w:spacing w:after="60"/>
      <w:ind w:left="-2268"/>
    </w:pPr>
    <w:rPr>
      <w:b/>
    </w:rPr>
  </w:style>
  <w:style w:type="paragraph" w:customStyle="1" w:styleId="Heading1TOC">
    <w:name w:val="Heading1 TOC"/>
    <w:basedOn w:val="Normal"/>
    <w:qFormat/>
    <w:rsid w:val="009C3BFC"/>
    <w:pPr>
      <w:spacing w:before="240" w:after="120"/>
    </w:pPr>
    <w:rPr>
      <w:rFonts w:ascii="Times New Roman" w:hAnsi="Times New Roman"/>
      <w:b/>
      <w:sz w:val="32"/>
    </w:rPr>
  </w:style>
  <w:style w:type="paragraph" w:customStyle="1" w:styleId="Heading2TOC">
    <w:name w:val="Heading2 TOC"/>
    <w:basedOn w:val="Normal"/>
    <w:qFormat/>
    <w:rsid w:val="009C3BFC"/>
    <w:pPr>
      <w:spacing w:before="240" w:after="60"/>
    </w:pPr>
    <w:rPr>
      <w:rFonts w:ascii="Times New Roman" w:hAnsi="Times New Roman"/>
      <w:b/>
      <w:sz w:val="28"/>
    </w:rPr>
  </w:style>
  <w:style w:type="character" w:customStyle="1" w:styleId="Underline">
    <w:name w:val="Underline"/>
    <w:basedOn w:val="DefaultParagraphFont"/>
    <w:qFormat/>
    <w:rsid w:val="009C3BFC"/>
    <w:rPr>
      <w:u w:val="single"/>
    </w:rPr>
  </w:style>
  <w:style w:type="character" w:customStyle="1" w:styleId="BoldandItalics">
    <w:name w:val="Bold and Italics"/>
    <w:qFormat/>
    <w:rsid w:val="009C3BFC"/>
    <w:rPr>
      <w:b/>
      <w:i/>
      <w:u w:val="none"/>
    </w:rPr>
  </w:style>
  <w:style w:type="paragraph" w:styleId="BalloonText">
    <w:name w:val="Balloon Text"/>
    <w:basedOn w:val="Normal"/>
    <w:link w:val="BalloonTextChar"/>
    <w:rsid w:val="009C3BFC"/>
    <w:rPr>
      <w:rFonts w:ascii="Tahoma" w:hAnsi="Tahoma" w:cs="Tahoma"/>
      <w:sz w:val="16"/>
      <w:szCs w:val="16"/>
    </w:rPr>
  </w:style>
  <w:style w:type="character" w:customStyle="1" w:styleId="BalloonTextChar">
    <w:name w:val="Balloon Text Char"/>
    <w:basedOn w:val="DefaultParagraphFont"/>
    <w:link w:val="BalloonText"/>
    <w:rsid w:val="009C3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BFC"/>
    <w:rPr>
      <w:b/>
      <w:color w:val="660033"/>
      <w:spacing w:val="0"/>
    </w:rPr>
  </w:style>
  <w:style w:type="paragraph" w:customStyle="1" w:styleId="Nameditemlist">
    <w:name w:val="Named item list"/>
    <w:basedOn w:val="BodyText"/>
    <w:qFormat/>
    <w:rsid w:val="009C3BFC"/>
    <w:pPr>
      <w:tabs>
        <w:tab w:val="left" w:pos="2835"/>
      </w:tabs>
      <w:ind w:left="2835" w:hanging="2835"/>
    </w:pPr>
  </w:style>
  <w:style w:type="paragraph" w:customStyle="1" w:styleId="BodyTextnopadding">
    <w:name w:val="Body Text no padding"/>
    <w:basedOn w:val="BodyText"/>
    <w:qFormat/>
    <w:rsid w:val="009C3BFC"/>
    <w:pPr>
      <w:spacing w:before="0" w:after="0"/>
    </w:pPr>
  </w:style>
  <w:style w:type="paragraph" w:customStyle="1" w:styleId="BodyTextBold">
    <w:name w:val="Body Text Bold"/>
    <w:basedOn w:val="BodyText"/>
    <w:qFormat/>
    <w:rsid w:val="009C3BFC"/>
    <w:rPr>
      <w:b/>
    </w:rPr>
  </w:style>
  <w:style w:type="character" w:styleId="Hyperlink">
    <w:name w:val="Hyperlink"/>
    <w:basedOn w:val="DefaultParagraphFont"/>
    <w:uiPriority w:val="99"/>
    <w:unhideWhenUsed/>
    <w:rsid w:val="006D3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6268</Characters>
  <Application>Microsoft Office Word</Application>
  <DocSecurity>0</DocSecurity>
  <Lines>179</Lines>
  <Paragraphs>93</Paragraphs>
  <ScaleCrop>false</ScaleCrop>
  <Company>Author-it Software Corporation Ltd.</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PSPFRU010 Manage fraud risk assessment and action plan</dc:title>
  <dc:subject>Approved</dc:subject>
  <dc:creator>Public Skills Australia</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