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24B" w:rsidP="006112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PSPFRU005 Conduct fraud risk assessments</w:t>
      </w:r>
      <w:r>
        <w:fldChar w:fldCharType="end"/>
      </w:r>
    </w:p>
    <w:p w:rsidR="0061124B" w:rsidP="0061124B">
      <w:pPr>
        <w:pStyle w:val="Version"/>
        <w:sectPr w:rsidSect="00C84F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4F74" w:rsidP="00C84F74">
      <w:pPr>
        <w:pStyle w:val="SuperHeading"/>
      </w:pPr>
      <w:r w:rsidRPr="00C84F74">
        <w:t>PSPFRU005 Conduct fraud risk assessments</w:t>
      </w:r>
    </w:p>
    <w:p w:rsidR="00000000" w:rsidRPr="00C84F74" w:rsidP="00C84F74">
      <w:pPr>
        <w:pStyle w:val="Heading1"/>
      </w:pPr>
      <w:bookmarkStart w:id="1" w:name="O_815193"/>
      <w:bookmarkEnd w:id="1"/>
      <w:r w:rsidRPr="00C84F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11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74">
            <w:pPr>
              <w:pStyle w:val="TableHeading"/>
              <w:rPr>
                <w:lang w:val="en-NZ"/>
              </w:rPr>
            </w:pPr>
            <w:r w:rsidRPr="00C84F7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74">
            <w:pPr>
              <w:pStyle w:val="TableHeading"/>
              <w:rPr>
                <w:lang w:val="en-NZ"/>
              </w:rPr>
            </w:pPr>
            <w:r w:rsidRPr="00C84F74">
              <w:t>Comments</w:t>
            </w:r>
          </w:p>
        </w:tc>
      </w:tr>
      <w:tr w:rsidTr="00611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74">
            <w:pPr>
              <w:pStyle w:val="BodyText"/>
              <w:rPr>
                <w:lang w:val="en-NZ"/>
              </w:rPr>
            </w:pPr>
            <w:r w:rsidRPr="00C84F7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74" w:rsidP="00C84F74">
            <w:pPr>
              <w:pStyle w:val="BodyText"/>
            </w:pPr>
            <w:r w:rsidRPr="00C84F74">
              <w:t xml:space="preserve">This unit was released in PSP Public Sector Training Package release 1.0 and meets the Standards for Training Packages. </w:t>
            </w:r>
          </w:p>
          <w:p w:rsidR="00000000" w:rsidRPr="00C84F74" w:rsidP="00C84F74">
            <w:pPr>
              <w:pStyle w:val="BodyText"/>
            </w:pPr>
          </w:p>
          <w:p w:rsidR="00000000" w:rsidRPr="00C84F74" w:rsidP="00C84F74">
            <w:pPr>
              <w:pStyle w:val="BodyText"/>
            </w:pPr>
            <w:r w:rsidRPr="00C84F74">
              <w:t>This unit supersedes and is equivalent to PSPFRAU504B Conduct fraud risk assessments.</w:t>
            </w:r>
          </w:p>
          <w:p w:rsidR="00000000" w:rsidRPr="00C84F74" w:rsidP="00C84F74">
            <w:pPr>
              <w:pStyle w:val="BodyText"/>
            </w:pPr>
          </w:p>
          <w:p w:rsidR="00000000" w:rsidRPr="00C84F74" w:rsidP="00C84F74">
            <w:pPr>
              <w:pStyle w:val="ListBullet"/>
            </w:pPr>
            <w:r w:rsidRPr="00C84F74">
              <w:t xml:space="preserve">Unit </w:t>
            </w:r>
            <w:r w:rsidRPr="00C84F74">
              <w:t>code updated</w:t>
            </w:r>
          </w:p>
          <w:p w:rsidR="00000000" w:rsidRPr="00C84F74" w:rsidP="00C84F74">
            <w:pPr>
              <w:pStyle w:val="ListBullet"/>
            </w:pPr>
            <w:r w:rsidRPr="00C84F74">
              <w:t>Content and formatting updated to comply with new standards</w:t>
            </w:r>
          </w:p>
          <w:p w:rsidR="00000000" w:rsidRPr="00C84F74" w:rsidP="00C84F74">
            <w:pPr>
              <w:pStyle w:val="ListBullet"/>
            </w:pPr>
            <w:r w:rsidRPr="00C84F74">
              <w:t>All PC transitioned from passive to active voice</w:t>
            </w:r>
          </w:p>
        </w:tc>
      </w:tr>
    </w:tbl>
    <w:p w:rsidR="00000000" w:rsidRPr="00C84F74" w:rsidP="00C84F74">
      <w:pPr>
        <w:pStyle w:val="BodyText"/>
      </w:pPr>
    </w:p>
    <w:p w:rsidR="00000000" w:rsidRPr="00C84F74" w:rsidP="00C84F74">
      <w:pPr>
        <w:pStyle w:val="AllowPageBreak"/>
      </w:pPr>
    </w:p>
    <w:p w:rsidR="00000000" w:rsidRPr="00C84F74" w:rsidP="00C84F74">
      <w:pPr>
        <w:pStyle w:val="Heading1"/>
      </w:pPr>
      <w:bookmarkStart w:id="2" w:name="O_815194"/>
      <w:bookmarkEnd w:id="2"/>
      <w:r w:rsidRPr="00C84F74">
        <w:t>Application</w:t>
      </w:r>
    </w:p>
    <w:p w:rsidR="00000000" w:rsidRPr="00C84F74" w:rsidP="0061124B">
      <w:pPr>
        <w:pStyle w:val="BodyText"/>
      </w:pPr>
      <w:r w:rsidRPr="00C84F74">
        <w:t>This unit describes the skills required to implement a fraud and corruption risk management process that may be the responsibility of organisational staff or contractors. It includes conducting fraud and corruption risk assessment and reviewing the process</w:t>
      </w:r>
      <w:r w:rsidRPr="00C84F74">
        <w:t>es involved in the risk assessment in line with standard risk management processes.</w:t>
      </w:r>
    </w:p>
    <w:p w:rsidR="00000000" w:rsidRPr="00C84F74" w:rsidP="0061124B">
      <w:pPr>
        <w:pStyle w:val="BodyText"/>
      </w:pPr>
      <w:r w:rsidRPr="00C84F74">
        <w:t>This unit applies to those working in roles involved with performing risk assessments for their organisation or business unit.</w:t>
      </w:r>
    </w:p>
    <w:p w:rsidR="00000000" w:rsidRPr="00C84F74" w:rsidP="0061124B">
      <w:pPr>
        <w:pStyle w:val="BodyText"/>
      </w:pPr>
      <w:r w:rsidRPr="00C84F74">
        <w:t xml:space="preserve">The skills and knowledge described in this </w:t>
      </w:r>
      <w:r w:rsidRPr="00C84F74">
        <w:t>unit must be applied within the legislative, regulatory and policy environment in which they are carried out. Organisational policies and procedures must be consulted and adhered to.</w:t>
      </w:r>
    </w:p>
    <w:p w:rsidR="00000000" w:rsidRPr="00C84F74" w:rsidP="0061124B">
      <w:pPr>
        <w:pStyle w:val="BodyText"/>
      </w:pPr>
      <w:r w:rsidRPr="00C84F74">
        <w:t xml:space="preserve">Those undertaking this unit would work autonomously, performing complex </w:t>
      </w:r>
      <w:r w:rsidRPr="00C84F74">
        <w:t>tasks in a range of familiar contexts.</w:t>
      </w:r>
    </w:p>
    <w:p w:rsidR="0061124B" w:rsidP="0061124B">
      <w:pPr>
        <w:pStyle w:val="BodyText"/>
      </w:pPr>
      <w:r w:rsidRPr="00C84F74">
        <w:t>No licensing, legislative or certification requirements apply to unit at the time of publication.</w:t>
      </w:r>
    </w:p>
    <w:p w:rsidR="00000000" w:rsidRPr="00C84F74" w:rsidP="00C84F74">
      <w:pPr>
        <w:pStyle w:val="Heading1"/>
      </w:pPr>
      <w:bookmarkStart w:id="3" w:name="O_815196"/>
      <w:bookmarkEnd w:id="3"/>
      <w:r w:rsidRPr="00C84F74">
        <w:t>Competency Field</w:t>
      </w:r>
    </w:p>
    <w:p w:rsidR="00000000" w:rsidRPr="00C84F74" w:rsidP="0061124B">
      <w:pPr>
        <w:pStyle w:val="BodyText"/>
      </w:pPr>
      <w:r w:rsidRPr="00C84F74">
        <w:t>Fraud control</w:t>
      </w:r>
    </w:p>
    <w:p w:rsidR="00000000" w:rsidRPr="00C84F74" w:rsidP="00C84F74">
      <w:pPr>
        <w:pStyle w:val="Heading1"/>
      </w:pPr>
      <w:bookmarkStart w:id="4" w:name="O_815198"/>
      <w:bookmarkEnd w:id="4"/>
      <w:r w:rsidRPr="00C84F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C84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74">
            <w:pPr>
              <w:pStyle w:val="TableHeading"/>
              <w:rPr>
                <w:lang w:val="en-NZ"/>
              </w:rPr>
            </w:pPr>
            <w:r w:rsidRPr="00C84F7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74">
            <w:pPr>
              <w:pStyle w:val="TableHeading"/>
              <w:rPr>
                <w:lang w:val="en-NZ"/>
              </w:rPr>
            </w:pPr>
            <w:r w:rsidRPr="00C84F74">
              <w:t>PERFORMAN</w:t>
            </w:r>
            <w:r w:rsidRPr="00C84F74">
              <w:t>CE CRITERIA</w:t>
            </w:r>
          </w:p>
        </w:tc>
      </w:tr>
      <w:tr w:rsidTr="00C84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74">
            <w:pPr>
              <w:pStyle w:val="BodyText"/>
              <w:rPr>
                <w:lang w:val="en-NZ"/>
              </w:rPr>
            </w:pPr>
            <w:r w:rsidRPr="00C84F7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74">
            <w:pPr>
              <w:pStyle w:val="BodyText"/>
              <w:rPr>
                <w:lang w:val="en-NZ"/>
              </w:rPr>
            </w:pPr>
            <w:r w:rsidRPr="00C84F74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C84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74">
            <w:pPr>
              <w:pStyle w:val="List"/>
              <w:rPr>
                <w:lang w:val="en-NZ"/>
              </w:rPr>
            </w:pPr>
            <w:r w:rsidRPr="00C84F74">
              <w:rPr>
                <w:rStyle w:val="SpecialBold"/>
              </w:rPr>
              <w:t>1.</w:t>
            </w:r>
            <w:r w:rsidRPr="00C84F74">
              <w:rPr>
                <w:rStyle w:val="SpecialBold"/>
              </w:rPr>
              <w:tab/>
              <w:t>Conduct fraud and corruption risk assessment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74" w:rsidP="00C84F74">
            <w:pPr>
              <w:pStyle w:val="List"/>
            </w:pPr>
            <w:r w:rsidRPr="00C84F74">
              <w:t>1.1</w:t>
            </w:r>
            <w:r w:rsidRPr="00C84F74">
              <w:tab/>
              <w:t xml:space="preserve">Conduct fraud and corruption risk assessment based on understanding of the environment and core business of the organisation. </w:t>
            </w:r>
          </w:p>
          <w:p w:rsidR="00000000" w:rsidRPr="00C84F74" w:rsidP="00C84F74">
            <w:pPr>
              <w:pStyle w:val="List"/>
            </w:pPr>
            <w:r w:rsidRPr="00C84F74">
              <w:t>1.2</w:t>
            </w:r>
            <w:r w:rsidRPr="00C84F74">
              <w:tab/>
              <w:t>Identify and report any gaps in the predetermined methodology and propose</w:t>
            </w:r>
            <w:r w:rsidRPr="00C84F74">
              <w:t xml:space="preserve"> options to fill these gaps as required.</w:t>
            </w:r>
          </w:p>
          <w:p w:rsidR="00000000" w:rsidRPr="00C84F74" w:rsidP="00C84F74">
            <w:pPr>
              <w:pStyle w:val="List"/>
            </w:pPr>
            <w:r w:rsidRPr="00C84F74">
              <w:t>1.3</w:t>
            </w:r>
            <w:r w:rsidRPr="00C84F74">
              <w:tab/>
              <w:t>Allow for impacts of possible change in organisational business in the risk assessment.</w:t>
            </w:r>
          </w:p>
          <w:p w:rsidR="00000000" w:rsidRPr="00C84F74" w:rsidP="00C84F74">
            <w:pPr>
              <w:pStyle w:val="List"/>
            </w:pPr>
            <w:r w:rsidRPr="00C84F74">
              <w:t>1.4</w:t>
            </w:r>
            <w:r w:rsidRPr="00C84F74">
              <w:tab/>
              <w:t>Assess validity and reliability of data.</w:t>
            </w:r>
          </w:p>
          <w:p w:rsidR="00000000" w:rsidRPr="00C84F74" w:rsidP="00C84F74">
            <w:pPr>
              <w:pStyle w:val="List"/>
            </w:pPr>
            <w:r w:rsidRPr="00C84F74">
              <w:t>1.5</w:t>
            </w:r>
            <w:r w:rsidRPr="00C84F74">
              <w:tab/>
              <w:t>Use consultation and data matching to identify patterns.</w:t>
            </w:r>
          </w:p>
          <w:p w:rsidR="00000000" w:rsidP="00C84F74">
            <w:pPr>
              <w:pStyle w:val="List"/>
              <w:rPr>
                <w:lang w:val="en-NZ"/>
              </w:rPr>
            </w:pPr>
            <w:r w:rsidRPr="00C84F74">
              <w:t>1.6</w:t>
            </w:r>
            <w:r w:rsidRPr="00C84F74">
              <w:tab/>
              <w:t>Apply both qu</w:t>
            </w:r>
            <w:r w:rsidRPr="00C84F74">
              <w:t>alitative assessment and quantitative representation of risks in the assessment.</w:t>
            </w:r>
          </w:p>
        </w:tc>
      </w:tr>
      <w:tr w:rsidTr="00C84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74">
            <w:pPr>
              <w:pStyle w:val="List"/>
              <w:rPr>
                <w:lang w:val="en-NZ"/>
              </w:rPr>
            </w:pPr>
            <w:r w:rsidRPr="00C84F74">
              <w:rPr>
                <w:rStyle w:val="SpecialBold"/>
              </w:rPr>
              <w:t>2.</w:t>
            </w:r>
            <w:r w:rsidRPr="00C84F74">
              <w:rPr>
                <w:rStyle w:val="SpecialBold"/>
              </w:rPr>
              <w:tab/>
              <w:t>Review processes involved in the risk assessment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74" w:rsidP="00C84F74">
            <w:pPr>
              <w:pStyle w:val="List"/>
            </w:pPr>
            <w:r w:rsidRPr="00C84F74">
              <w:t>2.1</w:t>
            </w:r>
            <w:r w:rsidRPr="00C84F74">
              <w:tab/>
              <w:t>Monitor and review processes in accordance with the objectives of fraud and corruption risk assessment strategy, gover</w:t>
            </w:r>
            <w:r w:rsidRPr="00C84F74">
              <w:t>nment policy and risk management standards.</w:t>
            </w:r>
          </w:p>
          <w:p w:rsidR="00000000" w:rsidRPr="00C84F74" w:rsidP="00C84F74">
            <w:pPr>
              <w:pStyle w:val="List"/>
            </w:pPr>
            <w:r w:rsidRPr="00C84F74">
              <w:t>2.2</w:t>
            </w:r>
            <w:r w:rsidRPr="00C84F74">
              <w:tab/>
              <w:t>Provide advice to business sections and other stakeholders regarding issues arising out of fraud and corruption risk assessment.</w:t>
            </w:r>
          </w:p>
          <w:p w:rsidR="00000000" w:rsidRPr="00C84F74" w:rsidP="00C84F74">
            <w:pPr>
              <w:pStyle w:val="List"/>
            </w:pPr>
            <w:r w:rsidRPr="00C84F74">
              <w:t>2.3</w:t>
            </w:r>
            <w:r w:rsidRPr="00C84F74">
              <w:tab/>
              <w:t xml:space="preserve">Discuss options to overcome identified obstacles with management, affected </w:t>
            </w:r>
            <w:r w:rsidRPr="00C84F74">
              <w:t>or relevant staff, and implement agreed options.</w:t>
            </w:r>
          </w:p>
          <w:p w:rsidR="00000000" w:rsidRPr="00C84F74" w:rsidP="00C84F74">
            <w:pPr>
              <w:pStyle w:val="List"/>
            </w:pPr>
            <w:r w:rsidRPr="00C84F74">
              <w:t>2.4</w:t>
            </w:r>
            <w:r w:rsidRPr="00C84F74">
              <w:tab/>
              <w:t>Assess effectiveness of fraud and corruption control strategies, and prepare reports for various audiences.</w:t>
            </w:r>
          </w:p>
        </w:tc>
      </w:tr>
    </w:tbl>
    <w:p w:rsidR="0061124B" w:rsidP="00C84F74">
      <w:pPr>
        <w:pStyle w:val="BodyText"/>
      </w:pPr>
    </w:p>
    <w:p w:rsidR="0061124B" w:rsidP="00C84F74">
      <w:pPr>
        <w:pStyle w:val="BodyText"/>
      </w:pPr>
    </w:p>
    <w:p w:rsidR="00000000" w:rsidRPr="00C84F74" w:rsidP="00C84F74">
      <w:pPr>
        <w:pStyle w:val="Heading1"/>
      </w:pPr>
      <w:bookmarkStart w:id="5" w:name="O_815199"/>
      <w:bookmarkEnd w:id="5"/>
      <w:r w:rsidRPr="00C84F74">
        <w:t>Foundation Skills</w:t>
      </w:r>
    </w:p>
    <w:p w:rsidR="00000000" w:rsidRPr="00C84F74" w:rsidP="0061124B">
      <w:pPr>
        <w:pStyle w:val="BodyText"/>
      </w:pPr>
      <w:r w:rsidRPr="00C84F74">
        <w:t>Foundation skills are embedded within the elements and performance criteria of this unit.</w:t>
      </w:r>
    </w:p>
    <w:p w:rsidR="00000000" w:rsidRPr="00C84F74" w:rsidP="00C84F74">
      <w:pPr>
        <w:pStyle w:val="Heading1"/>
      </w:pPr>
      <w:bookmarkStart w:id="6" w:name="O_815201"/>
      <w:bookmarkEnd w:id="6"/>
      <w:r w:rsidRPr="00C84F74">
        <w:t>Unit Mapping Information</w:t>
      </w:r>
    </w:p>
    <w:p w:rsidR="00000000" w:rsidRPr="00C84F74" w:rsidP="0061124B">
      <w:pPr>
        <w:pStyle w:val="BodyText"/>
      </w:pPr>
      <w:r w:rsidRPr="00C84F74">
        <w:t>This unit supersedes and is equivalent to PSPFRAU504B Conduct fraud risk assessments.</w:t>
      </w:r>
    </w:p>
    <w:p w:rsidR="00000000" w:rsidRPr="00C84F74" w:rsidP="00C84F74">
      <w:pPr>
        <w:pStyle w:val="Heading1"/>
      </w:pPr>
      <w:bookmarkStart w:id="7" w:name="O_815208"/>
      <w:bookmarkEnd w:id="7"/>
      <w:r w:rsidRPr="00C84F74">
        <w:t>Links</w:t>
      </w:r>
    </w:p>
    <w:p w:rsidR="00000000" w:rsidRPr="00C84F74" w:rsidP="0061124B">
      <w:pPr>
        <w:pStyle w:val="BodyText"/>
      </w:pPr>
      <w:r w:rsidRPr="00C84F74">
        <w:t>Companion Volum</w:t>
      </w:r>
      <w:r w:rsidRPr="00C84F74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259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4F74" w:rsidP="0061124B">
      <w:pPr>
        <w:pStyle w:val="BodyText"/>
      </w:pPr>
      <w:r w:rsidRPr="00C84F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259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4F74" w:rsidP="0061124B">
      <w:pPr>
        <w:pStyle w:val="BodyText"/>
      </w:pPr>
      <w:r w:rsidRPr="00C84F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259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4F74" w:rsidP="0061124B">
      <w:pPr>
        <w:pStyle w:val="BodyText"/>
      </w:pPr>
      <w:r w:rsidRPr="00C84F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259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4F74" w:rsidP="00C84F74"/>
    <w:sectPr w:rsidSect="00C84F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74" w:rsidRPr="0061124B" w:rsidP="006112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24B" w:rsidP="00C84F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124B" w:rsidP="00C84F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1124B" w:rsidP="00C84F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2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4F74" w:rsidRPr="0061124B" w:rsidP="006112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24B" w:rsidRPr="002D2AF8" w:rsidP="00C84F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PSPFRU005 Conduct fraud risk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1124B" w:rsidP="00C84F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1A5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BA64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F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4F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4F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4F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4F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4F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4F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4F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4F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4F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4F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4F74"/>
  </w:style>
  <w:style w:type="character" w:customStyle="1" w:styleId="Heading1Char">
    <w:name w:val="Heading 1 Char"/>
    <w:basedOn w:val="DefaultParagraphFont"/>
    <w:link w:val="Heading1"/>
    <w:rsid w:val="00C84F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4F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4F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4F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4F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4F74"/>
    <w:rPr>
      <w:b/>
      <w:spacing w:val="0"/>
    </w:rPr>
  </w:style>
  <w:style w:type="paragraph" w:customStyle="1" w:styleId="SuperHeading">
    <w:name w:val="SuperHeading"/>
    <w:basedOn w:val="Normal"/>
    <w:rsid w:val="00C84F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84F7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84F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4F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4F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4F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4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4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4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4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4F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4F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4F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4F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4F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4F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4F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4F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4F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4F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4F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4F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4F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4F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4F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4F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4F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4F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4F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4F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4F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4F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4F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4F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4F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4F74"/>
    <w:rPr>
      <w:i/>
    </w:rPr>
  </w:style>
  <w:style w:type="paragraph" w:styleId="Caption">
    <w:name w:val="caption"/>
    <w:basedOn w:val="BodyText"/>
    <w:next w:val="Normal"/>
    <w:qFormat/>
    <w:rsid w:val="00C84F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4F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4F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4F74"/>
  </w:style>
  <w:style w:type="paragraph" w:styleId="TableofFigures">
    <w:name w:val="table of figures"/>
    <w:basedOn w:val="Normal"/>
    <w:next w:val="Normal"/>
    <w:semiHidden/>
    <w:rsid w:val="00C84F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4F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4F74"/>
    <w:rPr>
      <w:rFonts w:ascii="Wingdings" w:hAnsi="Wingdings"/>
    </w:rPr>
  </w:style>
  <w:style w:type="character" w:customStyle="1" w:styleId="HotSpot">
    <w:name w:val="HotSpot"/>
    <w:rsid w:val="00C84F74"/>
    <w:rPr>
      <w:color w:val="0033CC"/>
      <w:u w:val="none"/>
    </w:rPr>
  </w:style>
  <w:style w:type="paragraph" w:customStyle="1" w:styleId="BodyTextRight">
    <w:name w:val="Body Text Right"/>
    <w:basedOn w:val="BodyText"/>
    <w:rsid w:val="00C84F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4F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4F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4F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4F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4F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4F74"/>
    <w:rPr>
      <w:sz w:val="32"/>
    </w:rPr>
  </w:style>
  <w:style w:type="paragraph" w:customStyle="1" w:styleId="HeadingProcedure">
    <w:name w:val="Heading Procedure"/>
    <w:basedOn w:val="HeadingBase"/>
    <w:next w:val="Normal"/>
    <w:rsid w:val="00C84F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4F74"/>
    <w:pPr>
      <w:spacing w:before="60" w:after="60"/>
    </w:pPr>
  </w:style>
  <w:style w:type="paragraph" w:styleId="ListContinue">
    <w:name w:val="List Continue"/>
    <w:basedOn w:val="List"/>
    <w:rsid w:val="00C84F74"/>
    <w:pPr>
      <w:ind w:firstLine="0"/>
    </w:pPr>
  </w:style>
  <w:style w:type="paragraph" w:customStyle="1" w:styleId="ListNote">
    <w:name w:val="List Note"/>
    <w:basedOn w:val="List"/>
    <w:rsid w:val="00C84F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4F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4F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4F74"/>
    <w:rPr>
      <w:rFonts w:ascii="Courier New" w:hAnsi="Courier New"/>
    </w:rPr>
  </w:style>
  <w:style w:type="paragraph" w:customStyle="1" w:styleId="NoteBullet">
    <w:name w:val="Note Bullet"/>
    <w:basedOn w:val="Note"/>
    <w:rsid w:val="00C84F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4F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4F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4F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4F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4F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4F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4F74"/>
    <w:rPr>
      <w:b/>
      <w:smallCaps/>
    </w:rPr>
  </w:style>
  <w:style w:type="paragraph" w:customStyle="1" w:styleId="TableListNumber">
    <w:name w:val="Table List Number"/>
    <w:basedOn w:val="ListNumber"/>
    <w:rsid w:val="00C84F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4F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4F74"/>
    <w:pPr>
      <w:numPr>
        <w:numId w:val="8"/>
      </w:numPr>
    </w:pPr>
  </w:style>
  <w:style w:type="paragraph" w:customStyle="1" w:styleId="ListAlpha2">
    <w:name w:val="List Alpha 2"/>
    <w:basedOn w:val="List2"/>
    <w:rsid w:val="00C84F74"/>
    <w:pPr>
      <w:numPr>
        <w:numId w:val="7"/>
      </w:numPr>
    </w:pPr>
  </w:style>
  <w:style w:type="paragraph" w:styleId="List2">
    <w:name w:val="List 2"/>
    <w:basedOn w:val="BodyText"/>
    <w:rsid w:val="00C84F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4F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4F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4F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4F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4F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4F74"/>
    <w:pPr>
      <w:numPr>
        <w:numId w:val="3"/>
      </w:numPr>
    </w:pPr>
  </w:style>
  <w:style w:type="paragraph" w:styleId="ListContinue2">
    <w:name w:val="List Continue 2"/>
    <w:basedOn w:val="List2"/>
    <w:rsid w:val="00C84F74"/>
    <w:pPr>
      <w:ind w:firstLine="0"/>
    </w:pPr>
  </w:style>
  <w:style w:type="paragraph" w:styleId="ListContinue3">
    <w:name w:val="List Continue 3"/>
    <w:basedOn w:val="List3"/>
    <w:rsid w:val="00C84F74"/>
    <w:pPr>
      <w:ind w:left="1021" w:firstLine="0"/>
    </w:pPr>
  </w:style>
  <w:style w:type="paragraph" w:styleId="ListContinue4">
    <w:name w:val="List Continue 4"/>
    <w:basedOn w:val="List4"/>
    <w:rsid w:val="00C84F74"/>
    <w:pPr>
      <w:ind w:firstLine="0"/>
    </w:pPr>
  </w:style>
  <w:style w:type="paragraph" w:styleId="ListContinue5">
    <w:name w:val="List Continue 5"/>
    <w:basedOn w:val="List5"/>
    <w:rsid w:val="00C84F74"/>
    <w:pPr>
      <w:ind w:firstLine="0"/>
    </w:pPr>
  </w:style>
  <w:style w:type="paragraph" w:styleId="ListNumber3">
    <w:name w:val="List Number 3"/>
    <w:basedOn w:val="List3"/>
    <w:rsid w:val="00C84F74"/>
    <w:pPr>
      <w:numPr>
        <w:numId w:val="4"/>
      </w:numPr>
    </w:pPr>
  </w:style>
  <w:style w:type="paragraph" w:styleId="ListNumber4">
    <w:name w:val="List Number 4"/>
    <w:basedOn w:val="List4"/>
    <w:rsid w:val="00C84F74"/>
    <w:pPr>
      <w:numPr>
        <w:numId w:val="5"/>
      </w:numPr>
    </w:pPr>
  </w:style>
  <w:style w:type="paragraph" w:styleId="ListNumber5">
    <w:name w:val="List Number 5"/>
    <w:basedOn w:val="List5"/>
    <w:rsid w:val="00C84F74"/>
    <w:pPr>
      <w:numPr>
        <w:numId w:val="6"/>
      </w:numPr>
    </w:pPr>
  </w:style>
  <w:style w:type="paragraph" w:styleId="BlockText">
    <w:name w:val="Block Text"/>
    <w:basedOn w:val="Normal"/>
    <w:rsid w:val="00C84F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4F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4F74"/>
    <w:rPr>
      <w:sz w:val="16"/>
      <w:vertAlign w:val="superscript"/>
    </w:rPr>
  </w:style>
  <w:style w:type="character" w:customStyle="1" w:styleId="Symbols">
    <w:name w:val="Symbols"/>
    <w:basedOn w:val="DefaultParagraphFont"/>
    <w:rsid w:val="00C84F74"/>
    <w:rPr>
      <w:rFonts w:ascii="Symbol" w:hAnsi="Symbol"/>
    </w:rPr>
  </w:style>
  <w:style w:type="character" w:customStyle="1" w:styleId="MenuOptions">
    <w:name w:val="Menu Options"/>
    <w:basedOn w:val="DefaultParagraphFont"/>
    <w:rsid w:val="00C84F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4F74"/>
    <w:rPr>
      <w:b/>
    </w:rPr>
  </w:style>
  <w:style w:type="character" w:customStyle="1" w:styleId="Underlined">
    <w:name w:val="Underlined"/>
    <w:basedOn w:val="DefaultParagraphFont"/>
    <w:rsid w:val="00C84F74"/>
    <w:rPr>
      <w:u w:val="single"/>
    </w:rPr>
  </w:style>
  <w:style w:type="paragraph" w:customStyle="1" w:styleId="TableBodyTextRight">
    <w:name w:val="Table Body Text Right"/>
    <w:basedOn w:val="TableBodyText"/>
    <w:rsid w:val="00C84F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4F74"/>
    <w:rPr>
      <w:sz w:val="18"/>
    </w:rPr>
  </w:style>
  <w:style w:type="paragraph" w:customStyle="1" w:styleId="BodySmallRight">
    <w:name w:val="Body Small Right"/>
    <w:basedOn w:val="BodyTextRight"/>
    <w:rsid w:val="00C84F74"/>
    <w:rPr>
      <w:sz w:val="18"/>
      <w:szCs w:val="18"/>
    </w:rPr>
  </w:style>
  <w:style w:type="paragraph" w:customStyle="1" w:styleId="MarginEdition">
    <w:name w:val="Margin Edition"/>
    <w:basedOn w:val="MarginNote"/>
    <w:rsid w:val="00C84F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4F74"/>
    <w:rPr>
      <w:sz w:val="2"/>
      <w:szCs w:val="2"/>
    </w:rPr>
  </w:style>
  <w:style w:type="character" w:customStyle="1" w:styleId="Small">
    <w:name w:val="Small"/>
    <w:basedOn w:val="DefaultParagraphFont"/>
    <w:rsid w:val="00C84F74"/>
    <w:rPr>
      <w:sz w:val="16"/>
    </w:rPr>
  </w:style>
  <w:style w:type="paragraph" w:customStyle="1" w:styleId="WideTable">
    <w:name w:val="Wide Table"/>
    <w:basedOn w:val="Normal"/>
    <w:rsid w:val="00C84F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4F74"/>
  </w:style>
  <w:style w:type="paragraph" w:styleId="Quote">
    <w:name w:val="Quote"/>
    <w:basedOn w:val="Heading1"/>
    <w:link w:val="QuoteChar"/>
    <w:qFormat/>
    <w:rsid w:val="00C84F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4F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4F74"/>
    <w:pPr>
      <w:pageBreakBefore/>
    </w:pPr>
  </w:style>
  <w:style w:type="paragraph" w:customStyle="1" w:styleId="Border">
    <w:name w:val="Border"/>
    <w:basedOn w:val="Normal"/>
    <w:qFormat/>
    <w:rsid w:val="00C84F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4F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F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F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4F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4F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4F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4F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4F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4F74"/>
    <w:rPr>
      <w:u w:val="single"/>
    </w:rPr>
  </w:style>
  <w:style w:type="character" w:customStyle="1" w:styleId="BoldandItalics">
    <w:name w:val="Bold and Italics"/>
    <w:qFormat/>
    <w:rsid w:val="00C84F74"/>
    <w:rPr>
      <w:b/>
      <w:i/>
      <w:u w:val="none"/>
    </w:rPr>
  </w:style>
  <w:style w:type="paragraph" w:styleId="BalloonText">
    <w:name w:val="Balloon Text"/>
    <w:basedOn w:val="Normal"/>
    <w:link w:val="BalloonTextChar"/>
    <w:rsid w:val="00C84F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4F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4F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4F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4F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4F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4F74"/>
    <w:pPr>
      <w:spacing w:before="0" w:after="0"/>
    </w:pPr>
  </w:style>
  <w:style w:type="paragraph" w:customStyle="1" w:styleId="BodyTextBold">
    <w:name w:val="Body Text Bold"/>
    <w:basedOn w:val="BodyText"/>
    <w:qFormat/>
    <w:rsid w:val="00C84F74"/>
    <w:rPr>
      <w:b/>
    </w:rPr>
  </w:style>
  <w:style w:type="character" w:styleId="Hyperlink">
    <w:name w:val="Hyperlink"/>
    <w:basedOn w:val="DefaultParagraphFont"/>
    <w:uiPriority w:val="99"/>
    <w:unhideWhenUsed/>
    <w:rsid w:val="006112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3647</Characters>
  <Application>Microsoft Office Word</Application>
  <DocSecurity>0</DocSecurity>
  <Lines>110</Lines>
  <Paragraphs>59</Paragraphs>
  <ScaleCrop>false</ScaleCrop>
  <Company>Author-it Software Corporation Ltd.</Company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PSPFRU005 Conduct fraud risk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2022-11-21T08:51:00Z</dcterms:created>
  <dcterms:modified xsi:type="dcterms:W3CDTF">2022-11-21T08:51:00Z</dcterms:modified>
</cp:coreProperties>
</file>